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3456"/>
        <w:gridCol w:w="5054"/>
      </w:tblGrid>
      <w:tr w:rsidR="0022223F">
        <w:tc>
          <w:tcPr>
            <w:tcW w:w="3456" w:type="dxa"/>
            <w:tcBorders>
              <w:bottom w:val="single" w:sz="18" w:space="0" w:color="auto"/>
            </w:tcBorders>
          </w:tcPr>
          <w:p w:rsidR="0022223F" w:rsidRPr="00B805DB" w:rsidRDefault="0022223F">
            <w:pPr>
              <w:pStyle w:val="Infotext"/>
              <w:rPr>
                <w:rFonts w:ascii="Arial Black" w:hAnsi="Arial Black" w:cs="Arial Black"/>
                <w:color w:val="999999"/>
                <w:sz w:val="36"/>
                <w:szCs w:val="36"/>
              </w:rPr>
            </w:pPr>
            <w:r w:rsidRPr="00B805DB">
              <w:rPr>
                <w:rFonts w:ascii="Arial Black" w:hAnsi="Arial Black" w:cs="Arial Black"/>
                <w:color w:val="999999"/>
                <w:sz w:val="36"/>
                <w:szCs w:val="36"/>
              </w:rPr>
              <w:t>REPORT FOR:</w:t>
            </w:r>
          </w:p>
          <w:p w:rsidR="0022223F" w:rsidRPr="00B805DB" w:rsidRDefault="0022223F">
            <w:pPr>
              <w:pStyle w:val="Infotext"/>
              <w:rPr>
                <w:rFonts w:ascii="Arial Black" w:hAnsi="Arial Black" w:cs="Arial Black"/>
                <w:sz w:val="36"/>
                <w:szCs w:val="36"/>
              </w:rPr>
            </w:pPr>
          </w:p>
        </w:tc>
        <w:tc>
          <w:tcPr>
            <w:tcW w:w="5054" w:type="dxa"/>
            <w:tcBorders>
              <w:bottom w:val="single" w:sz="18" w:space="0" w:color="auto"/>
            </w:tcBorders>
          </w:tcPr>
          <w:p w:rsidR="0022223F" w:rsidRDefault="0022223F">
            <w:pPr>
              <w:rPr>
                <w:rFonts w:ascii="Arial Black" w:hAnsi="Arial Black" w:cs="Arial Black"/>
                <w:sz w:val="36"/>
                <w:szCs w:val="36"/>
              </w:rPr>
            </w:pPr>
            <w:r w:rsidRPr="00B805DB">
              <w:rPr>
                <w:rFonts w:ascii="Arial Black" w:hAnsi="Arial Black" w:cs="Arial Black"/>
                <w:sz w:val="36"/>
                <w:szCs w:val="36"/>
              </w:rPr>
              <w:t>CABINET</w:t>
            </w:r>
          </w:p>
          <w:p w:rsidR="0022223F" w:rsidRPr="00B805DB" w:rsidRDefault="0022223F">
            <w:pPr>
              <w:rPr>
                <w:rFonts w:ascii="Arial Black" w:hAnsi="Arial Black" w:cs="Arial Black"/>
                <w:sz w:val="36"/>
                <w:szCs w:val="36"/>
              </w:rPr>
            </w:pPr>
          </w:p>
        </w:tc>
      </w:tr>
      <w:tr w:rsidR="0022223F">
        <w:tc>
          <w:tcPr>
            <w:tcW w:w="3456" w:type="dxa"/>
            <w:tcBorders>
              <w:top w:val="single" w:sz="18" w:space="0" w:color="auto"/>
            </w:tcBorders>
          </w:tcPr>
          <w:p w:rsidR="0022223F" w:rsidRPr="00C13A5F" w:rsidRDefault="0022223F">
            <w:pPr>
              <w:pStyle w:val="Infotext"/>
              <w:rPr>
                <w:rFonts w:ascii="Arial Black" w:hAnsi="Arial Black" w:cs="Arial Black"/>
              </w:rPr>
            </w:pPr>
            <w:r w:rsidRPr="00C13A5F">
              <w:rPr>
                <w:rFonts w:ascii="Arial Black" w:hAnsi="Arial Black" w:cs="Arial Black"/>
              </w:rPr>
              <w:t>Date</w:t>
            </w:r>
            <w:r>
              <w:rPr>
                <w:rFonts w:ascii="Arial Black" w:hAnsi="Arial Black" w:cs="Arial Black"/>
              </w:rPr>
              <w:t xml:space="preserve"> of Meeting</w:t>
            </w:r>
            <w:r w:rsidRPr="00C13A5F">
              <w:rPr>
                <w:rFonts w:ascii="Arial Black" w:hAnsi="Arial Black" w:cs="Arial Black"/>
              </w:rPr>
              <w:t>:</w:t>
            </w:r>
          </w:p>
          <w:p w:rsidR="0022223F" w:rsidRPr="00C13A5F" w:rsidRDefault="0022223F">
            <w:pPr>
              <w:pStyle w:val="Infotext"/>
              <w:rPr>
                <w:rFonts w:ascii="Arial Black" w:hAnsi="Arial Black" w:cs="Arial Black"/>
              </w:rPr>
            </w:pPr>
          </w:p>
        </w:tc>
        <w:tc>
          <w:tcPr>
            <w:tcW w:w="5054" w:type="dxa"/>
            <w:tcBorders>
              <w:top w:val="single" w:sz="18" w:space="0" w:color="auto"/>
            </w:tcBorders>
          </w:tcPr>
          <w:p w:rsidR="0022223F" w:rsidRDefault="0022223F" w:rsidP="00D87C76">
            <w:r>
              <w:t>11December 2014</w:t>
            </w:r>
          </w:p>
        </w:tc>
      </w:tr>
      <w:tr w:rsidR="0022223F">
        <w:tc>
          <w:tcPr>
            <w:tcW w:w="3456" w:type="dxa"/>
          </w:tcPr>
          <w:p w:rsidR="0022223F" w:rsidRPr="00C13A5F" w:rsidRDefault="0022223F">
            <w:pPr>
              <w:pStyle w:val="Infotext"/>
              <w:rPr>
                <w:rFonts w:ascii="Arial Black" w:hAnsi="Arial Black" w:cs="Arial Black"/>
              </w:rPr>
            </w:pPr>
            <w:r w:rsidRPr="00C13A5F">
              <w:rPr>
                <w:rFonts w:ascii="Arial Black" w:hAnsi="Arial Black" w:cs="Arial Black"/>
              </w:rPr>
              <w:t>Subject:</w:t>
            </w:r>
          </w:p>
          <w:p w:rsidR="0022223F" w:rsidRPr="00C13A5F" w:rsidRDefault="0022223F">
            <w:pPr>
              <w:pStyle w:val="Infotext"/>
              <w:rPr>
                <w:rFonts w:ascii="Arial Black" w:hAnsi="Arial Black" w:cs="Arial Black"/>
              </w:rPr>
            </w:pPr>
          </w:p>
        </w:tc>
        <w:tc>
          <w:tcPr>
            <w:tcW w:w="5054" w:type="dxa"/>
          </w:tcPr>
          <w:p w:rsidR="0022223F" w:rsidRDefault="0022223F" w:rsidP="00D87C76">
            <w:r w:rsidRPr="00D37E53">
              <w:t xml:space="preserve">Revenue and </w:t>
            </w:r>
            <w:r>
              <w:t>Capital Monitoring for Quarter 2 as at 30 September</w:t>
            </w:r>
            <w:r w:rsidRPr="00D37E53">
              <w:t xml:space="preserve"> 201</w:t>
            </w:r>
            <w:r>
              <w:t>4</w:t>
            </w:r>
          </w:p>
        </w:tc>
        <w:bookmarkStart w:id="0" w:name="_GoBack"/>
        <w:bookmarkEnd w:id="0"/>
      </w:tr>
      <w:tr w:rsidR="0022223F">
        <w:tc>
          <w:tcPr>
            <w:tcW w:w="3456" w:type="dxa"/>
          </w:tcPr>
          <w:p w:rsidR="0022223F" w:rsidRPr="00C13A5F" w:rsidRDefault="0022223F">
            <w:pPr>
              <w:pStyle w:val="Infotext"/>
              <w:rPr>
                <w:rFonts w:ascii="Arial Black" w:hAnsi="Arial Black" w:cs="Arial Black"/>
              </w:rPr>
            </w:pPr>
            <w:r w:rsidRPr="00C13A5F">
              <w:rPr>
                <w:rFonts w:ascii="Arial Black" w:hAnsi="Arial Black" w:cs="Arial Black"/>
              </w:rPr>
              <w:t xml:space="preserve">Key Decision: </w:t>
            </w:r>
          </w:p>
          <w:p w:rsidR="0022223F" w:rsidRPr="00C13A5F" w:rsidRDefault="0022223F">
            <w:pPr>
              <w:pStyle w:val="Infotext"/>
              <w:rPr>
                <w:rFonts w:ascii="Arial Black" w:hAnsi="Arial Black" w:cs="Arial Black"/>
              </w:rPr>
            </w:pPr>
          </w:p>
        </w:tc>
        <w:tc>
          <w:tcPr>
            <w:tcW w:w="5054" w:type="dxa"/>
          </w:tcPr>
          <w:p w:rsidR="0022223F" w:rsidRDefault="0022223F">
            <w:r>
              <w:t>No</w:t>
            </w:r>
          </w:p>
        </w:tc>
      </w:tr>
      <w:tr w:rsidR="0022223F">
        <w:tc>
          <w:tcPr>
            <w:tcW w:w="3456" w:type="dxa"/>
          </w:tcPr>
          <w:p w:rsidR="0022223F" w:rsidRPr="00C13A5F" w:rsidRDefault="0022223F">
            <w:pPr>
              <w:pStyle w:val="Infotext"/>
              <w:rPr>
                <w:rFonts w:ascii="Arial Black" w:hAnsi="Arial Black" w:cs="Arial Black"/>
              </w:rPr>
            </w:pPr>
            <w:r w:rsidRPr="00C13A5F">
              <w:rPr>
                <w:rFonts w:ascii="Arial Black" w:hAnsi="Arial Black" w:cs="Arial Black"/>
              </w:rPr>
              <w:t>Responsible Officer:</w:t>
            </w:r>
          </w:p>
          <w:p w:rsidR="0022223F" w:rsidRPr="00C13A5F" w:rsidRDefault="0022223F">
            <w:pPr>
              <w:pStyle w:val="Infotext"/>
              <w:rPr>
                <w:rFonts w:ascii="Arial Black" w:hAnsi="Arial Black" w:cs="Arial Black"/>
              </w:rPr>
            </w:pPr>
          </w:p>
        </w:tc>
        <w:tc>
          <w:tcPr>
            <w:tcW w:w="5054" w:type="dxa"/>
          </w:tcPr>
          <w:p w:rsidR="0022223F" w:rsidRDefault="0022223F">
            <w:r w:rsidRPr="00D37E53">
              <w:t>Simon George, Director of Finance and Assurance</w:t>
            </w:r>
          </w:p>
        </w:tc>
      </w:tr>
      <w:tr w:rsidR="0022223F">
        <w:tc>
          <w:tcPr>
            <w:tcW w:w="3456" w:type="dxa"/>
          </w:tcPr>
          <w:p w:rsidR="0022223F" w:rsidRPr="00C13A5F" w:rsidRDefault="0022223F">
            <w:pPr>
              <w:pStyle w:val="Infotext"/>
              <w:rPr>
                <w:rFonts w:ascii="Arial Black" w:hAnsi="Arial Black" w:cs="Arial Black"/>
              </w:rPr>
            </w:pPr>
            <w:r w:rsidRPr="00C13A5F">
              <w:rPr>
                <w:rFonts w:ascii="Arial Black" w:hAnsi="Arial Black" w:cs="Arial Black"/>
              </w:rPr>
              <w:t>Portfolio Holder:</w:t>
            </w:r>
          </w:p>
          <w:p w:rsidR="0022223F" w:rsidRPr="00C13A5F" w:rsidRDefault="0022223F">
            <w:pPr>
              <w:pStyle w:val="Infotext"/>
              <w:rPr>
                <w:rFonts w:ascii="Arial Black" w:hAnsi="Arial Black" w:cs="Arial Black"/>
              </w:rPr>
            </w:pPr>
          </w:p>
        </w:tc>
        <w:tc>
          <w:tcPr>
            <w:tcW w:w="5054" w:type="dxa"/>
          </w:tcPr>
          <w:p w:rsidR="0022223F" w:rsidRDefault="0022223F">
            <w:r w:rsidRPr="00C37C55">
              <w:t>Councillor Sachin Shah, Portfolio Holder for Finance and Major Contracts</w:t>
            </w:r>
          </w:p>
        </w:tc>
      </w:tr>
      <w:tr w:rsidR="0022223F">
        <w:tc>
          <w:tcPr>
            <w:tcW w:w="3456" w:type="dxa"/>
          </w:tcPr>
          <w:p w:rsidR="0022223F" w:rsidRPr="00C13A5F" w:rsidRDefault="0022223F">
            <w:pPr>
              <w:pStyle w:val="Infotext"/>
              <w:rPr>
                <w:rFonts w:ascii="Arial Black" w:hAnsi="Arial Black" w:cs="Arial Black"/>
              </w:rPr>
            </w:pPr>
            <w:r w:rsidRPr="00C13A5F">
              <w:rPr>
                <w:rFonts w:ascii="Arial Black" w:hAnsi="Arial Black" w:cs="Arial Black"/>
              </w:rPr>
              <w:t>Exempt:</w:t>
            </w:r>
          </w:p>
          <w:p w:rsidR="0022223F" w:rsidRPr="00C13A5F" w:rsidRDefault="0022223F">
            <w:pPr>
              <w:pStyle w:val="Infotext"/>
              <w:rPr>
                <w:rFonts w:ascii="Arial Black" w:hAnsi="Arial Black" w:cs="Arial Black"/>
              </w:rPr>
            </w:pPr>
          </w:p>
        </w:tc>
        <w:tc>
          <w:tcPr>
            <w:tcW w:w="5054" w:type="dxa"/>
          </w:tcPr>
          <w:p w:rsidR="0022223F" w:rsidRDefault="0022223F">
            <w:r>
              <w:t>No</w:t>
            </w:r>
          </w:p>
        </w:tc>
      </w:tr>
      <w:tr w:rsidR="0022223F">
        <w:tc>
          <w:tcPr>
            <w:tcW w:w="3456" w:type="dxa"/>
          </w:tcPr>
          <w:p w:rsidR="0022223F" w:rsidRDefault="0022223F">
            <w:pPr>
              <w:pStyle w:val="Infotext"/>
              <w:rPr>
                <w:rFonts w:ascii="Arial Black" w:hAnsi="Arial Black" w:cs="Arial Black"/>
              </w:rPr>
            </w:pPr>
            <w:r>
              <w:rPr>
                <w:rFonts w:ascii="Arial Black" w:hAnsi="Arial Black" w:cs="Arial Black"/>
              </w:rPr>
              <w:t>Decision subject to Call-in:</w:t>
            </w:r>
          </w:p>
          <w:p w:rsidR="0022223F" w:rsidRPr="00C13A5F" w:rsidRDefault="0022223F">
            <w:pPr>
              <w:pStyle w:val="Infotext"/>
              <w:rPr>
                <w:rFonts w:ascii="Arial Black" w:hAnsi="Arial Black" w:cs="Arial Black"/>
              </w:rPr>
            </w:pPr>
          </w:p>
        </w:tc>
        <w:tc>
          <w:tcPr>
            <w:tcW w:w="5054" w:type="dxa"/>
          </w:tcPr>
          <w:p w:rsidR="0022223F" w:rsidRDefault="0022223F">
            <w:r>
              <w:t>No, as the recommendations are for noting only</w:t>
            </w:r>
          </w:p>
        </w:tc>
      </w:tr>
      <w:tr w:rsidR="0022223F">
        <w:tc>
          <w:tcPr>
            <w:tcW w:w="3456" w:type="dxa"/>
          </w:tcPr>
          <w:p w:rsidR="0022223F" w:rsidRDefault="0022223F">
            <w:pPr>
              <w:pStyle w:val="Infotext"/>
              <w:rPr>
                <w:rFonts w:ascii="Arial Black" w:hAnsi="Arial Black" w:cs="Arial Black"/>
              </w:rPr>
            </w:pPr>
            <w:r>
              <w:rPr>
                <w:rFonts w:ascii="Arial Black" w:hAnsi="Arial Black" w:cs="Arial Black"/>
              </w:rPr>
              <w:t>Wards affected:</w:t>
            </w:r>
          </w:p>
          <w:p w:rsidR="0022223F" w:rsidRPr="00C13A5F" w:rsidRDefault="0022223F">
            <w:pPr>
              <w:pStyle w:val="Infotext"/>
              <w:rPr>
                <w:rFonts w:ascii="Arial Black" w:hAnsi="Arial Black" w:cs="Arial Black"/>
              </w:rPr>
            </w:pPr>
          </w:p>
        </w:tc>
        <w:tc>
          <w:tcPr>
            <w:tcW w:w="5054" w:type="dxa"/>
          </w:tcPr>
          <w:p w:rsidR="0022223F" w:rsidRPr="00E06FC6" w:rsidRDefault="0022223F">
            <w:pPr>
              <w:pStyle w:val="Heading3"/>
              <w:rPr>
                <w:b w:val="0"/>
                <w:bCs w:val="0"/>
                <w:i w:val="0"/>
                <w:iCs w:val="0"/>
              </w:rPr>
            </w:pPr>
            <w:r>
              <w:rPr>
                <w:b w:val="0"/>
                <w:bCs w:val="0"/>
                <w:i w:val="0"/>
                <w:iCs w:val="0"/>
              </w:rPr>
              <w:t>All</w:t>
            </w:r>
          </w:p>
        </w:tc>
      </w:tr>
      <w:tr w:rsidR="0022223F">
        <w:tc>
          <w:tcPr>
            <w:tcW w:w="3456" w:type="dxa"/>
          </w:tcPr>
          <w:p w:rsidR="0022223F" w:rsidRPr="00C13A5F" w:rsidRDefault="0022223F">
            <w:pPr>
              <w:pStyle w:val="Infotext"/>
              <w:rPr>
                <w:rFonts w:ascii="Arial Black" w:hAnsi="Arial Black" w:cs="Arial Black"/>
              </w:rPr>
            </w:pPr>
            <w:r w:rsidRPr="00C13A5F">
              <w:rPr>
                <w:rFonts w:ascii="Arial Black" w:hAnsi="Arial Black" w:cs="Arial Black"/>
              </w:rPr>
              <w:t>Enclosures:</w:t>
            </w:r>
          </w:p>
          <w:p w:rsidR="0022223F" w:rsidRPr="00C13A5F" w:rsidRDefault="0022223F">
            <w:pPr>
              <w:pStyle w:val="Infotext"/>
              <w:rPr>
                <w:rFonts w:ascii="Arial Black" w:hAnsi="Arial Black" w:cs="Arial Black"/>
              </w:rPr>
            </w:pPr>
          </w:p>
        </w:tc>
        <w:tc>
          <w:tcPr>
            <w:tcW w:w="5054" w:type="dxa"/>
          </w:tcPr>
          <w:p w:rsidR="0022223F" w:rsidRDefault="0022223F" w:rsidP="004709BE">
            <w:pPr>
              <w:ind w:left="1512" w:right="489" w:hanging="1512"/>
            </w:pPr>
            <w:r>
              <w:t>Appendix 1 - Revenue Summary</w:t>
            </w:r>
          </w:p>
          <w:p w:rsidR="0022223F" w:rsidRDefault="0022223F" w:rsidP="004709BE">
            <w:pPr>
              <w:ind w:left="1512" w:right="489" w:hanging="1512"/>
            </w:pPr>
            <w:r>
              <w:t>(Directorates)</w:t>
            </w:r>
          </w:p>
          <w:p w:rsidR="0022223F" w:rsidRDefault="0022223F" w:rsidP="00865C79">
            <w:pPr>
              <w:ind w:left="1506" w:right="489" w:hanging="1506"/>
            </w:pPr>
            <w:r>
              <w:t>Appendix 2 – MTFS 2014/15 to 2016/17</w:t>
            </w:r>
          </w:p>
          <w:p w:rsidR="0022223F" w:rsidRDefault="0022223F" w:rsidP="00865C79">
            <w:pPr>
              <w:ind w:left="1506" w:right="489" w:hanging="1506"/>
            </w:pPr>
            <w:r>
              <w:t>Savings Tracker</w:t>
            </w:r>
          </w:p>
          <w:p w:rsidR="0022223F" w:rsidRDefault="0022223F" w:rsidP="004709BE">
            <w:pPr>
              <w:pStyle w:val="Heading3"/>
              <w:rPr>
                <w:b w:val="0"/>
                <w:bCs w:val="0"/>
                <w:i w:val="0"/>
                <w:iCs w:val="0"/>
              </w:rPr>
            </w:pPr>
            <w:r w:rsidRPr="004709BE">
              <w:rPr>
                <w:b w:val="0"/>
                <w:bCs w:val="0"/>
                <w:i w:val="0"/>
                <w:iCs w:val="0"/>
              </w:rPr>
              <w:t>Appendix 3 - Debt Management</w:t>
            </w:r>
            <w:r>
              <w:rPr>
                <w:b w:val="0"/>
                <w:bCs w:val="0"/>
                <w:i w:val="0"/>
                <w:iCs w:val="0"/>
              </w:rPr>
              <w:t xml:space="preserve"> 2014/15</w:t>
            </w:r>
          </w:p>
          <w:p w:rsidR="0022223F" w:rsidRDefault="0022223F" w:rsidP="00865C79">
            <w:pPr>
              <w:ind w:left="1506" w:hanging="1506"/>
            </w:pPr>
            <w:r>
              <w:t>Appendix 4 – Capital Programme as at 30</w:t>
            </w:r>
          </w:p>
          <w:p w:rsidR="0022223F" w:rsidRPr="00D36299" w:rsidRDefault="0022223F" w:rsidP="00865C79">
            <w:pPr>
              <w:ind w:left="1506" w:hanging="1506"/>
            </w:pPr>
            <w:r>
              <w:t>September 2014</w:t>
            </w:r>
          </w:p>
        </w:tc>
      </w:tr>
    </w:tbl>
    <w:p w:rsidR="0022223F" w:rsidRDefault="0022223F"/>
    <w:p w:rsidR="0022223F" w:rsidRDefault="0022223F"/>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5"/>
      </w:tblGrid>
      <w:tr w:rsidR="0022223F">
        <w:tc>
          <w:tcPr>
            <w:tcW w:w="8525" w:type="dxa"/>
            <w:tcBorders>
              <w:top w:val="nil"/>
              <w:left w:val="nil"/>
              <w:right w:val="nil"/>
            </w:tcBorders>
          </w:tcPr>
          <w:p w:rsidR="0022223F" w:rsidRDefault="0022223F" w:rsidP="003F69BD">
            <w:pPr>
              <w:pStyle w:val="Heading1"/>
            </w:pPr>
            <w:r>
              <w:t>Section 1 – Summary and Recommendations</w:t>
            </w:r>
          </w:p>
          <w:p w:rsidR="0022223F" w:rsidRDefault="0022223F"/>
        </w:tc>
      </w:tr>
      <w:tr w:rsidR="0022223F">
        <w:tc>
          <w:tcPr>
            <w:tcW w:w="8525" w:type="dxa"/>
          </w:tcPr>
          <w:p w:rsidR="0022223F" w:rsidRDefault="0022223F"/>
          <w:p w:rsidR="0022223F" w:rsidRDefault="0022223F" w:rsidP="00C37C55">
            <w:r>
              <w:t>This report sets out the Council’s revenue and capital monitoring position as at Quarter22014/15(30 September 2014).</w:t>
            </w:r>
          </w:p>
          <w:p w:rsidR="0022223F" w:rsidRDefault="0022223F" w:rsidP="00C37C55"/>
          <w:p w:rsidR="0022223F" w:rsidRDefault="0022223F" w:rsidP="00C37C55">
            <w:pPr>
              <w:pStyle w:val="Heading2"/>
            </w:pPr>
            <w:r>
              <w:t xml:space="preserve">Recommendations: </w:t>
            </w:r>
          </w:p>
          <w:p w:rsidR="0022223F" w:rsidRDefault="0022223F" w:rsidP="00C37C55"/>
          <w:p w:rsidR="0022223F" w:rsidRDefault="0022223F" w:rsidP="008A0545">
            <w:pPr>
              <w:ind w:left="709" w:hanging="709"/>
            </w:pPr>
            <w:r>
              <w:t>1.</w:t>
            </w:r>
            <w:r>
              <w:tab/>
              <w:t>That Cabinet note the revenue and capital forecast positions detailed in this report as at Quarter 2 2014/15.</w:t>
            </w:r>
          </w:p>
          <w:p w:rsidR="0022223F" w:rsidRDefault="0022223F" w:rsidP="008A0545">
            <w:pPr>
              <w:ind w:left="709" w:hanging="709"/>
            </w:pPr>
            <w:r>
              <w:t>2.</w:t>
            </w:r>
            <w:r>
              <w:tab/>
              <w:t xml:space="preserve">That Cabinet note the </w:t>
            </w:r>
            <w:r w:rsidRPr="00DE6CC0">
              <w:t>changes in Quarter2 to the Capital Programme outlined in paragraph</w:t>
            </w:r>
            <w:r>
              <w:t xml:space="preserve"> 71</w:t>
            </w:r>
            <w:r w:rsidRPr="00DE6CC0">
              <w:t>.</w:t>
            </w:r>
          </w:p>
          <w:p w:rsidR="0022223F" w:rsidRDefault="0022223F" w:rsidP="004709BE">
            <w:r>
              <w:tab/>
            </w:r>
          </w:p>
          <w:p w:rsidR="0022223F" w:rsidRPr="00C37C55" w:rsidRDefault="0022223F" w:rsidP="00C37C55">
            <w:pPr>
              <w:rPr>
                <w:b/>
                <w:bCs/>
                <w:sz w:val="28"/>
                <w:szCs w:val="28"/>
              </w:rPr>
            </w:pPr>
            <w:r w:rsidRPr="00C37C55">
              <w:rPr>
                <w:b/>
                <w:bCs/>
                <w:sz w:val="28"/>
                <w:szCs w:val="28"/>
              </w:rPr>
              <w:t>Reason:  (For recommendation )</w:t>
            </w:r>
          </w:p>
          <w:p w:rsidR="0022223F" w:rsidRDefault="0022223F" w:rsidP="00C37C55">
            <w:r>
              <w:t>To report the 2014/15 forecast financial position as at 30 September 2014.</w:t>
            </w:r>
          </w:p>
          <w:p w:rsidR="0022223F" w:rsidRDefault="0022223F">
            <w:pPr>
              <w:jc w:val="both"/>
            </w:pPr>
          </w:p>
        </w:tc>
      </w:tr>
    </w:tbl>
    <w:p w:rsidR="0022223F" w:rsidRDefault="0022223F">
      <w:pPr>
        <w:pStyle w:val="Heading1"/>
      </w:pPr>
    </w:p>
    <w:p w:rsidR="0022223F" w:rsidRDefault="0022223F">
      <w:pPr>
        <w:pStyle w:val="Heading1"/>
      </w:pPr>
      <w:r>
        <w:t>Section 2 – Report</w:t>
      </w:r>
    </w:p>
    <w:p w:rsidR="0022223F" w:rsidRPr="00141B00" w:rsidRDefault="0022223F" w:rsidP="004709BE">
      <w:pPr>
        <w:keepNext/>
        <w:outlineLvl w:val="1"/>
        <w:rPr>
          <w:b/>
          <w:bCs/>
          <w:kern w:val="32"/>
          <w:sz w:val="28"/>
          <w:szCs w:val="28"/>
          <w:u w:val="single"/>
        </w:rPr>
      </w:pPr>
      <w:r w:rsidRPr="00141B00">
        <w:rPr>
          <w:b/>
          <w:bCs/>
          <w:kern w:val="32"/>
          <w:sz w:val="28"/>
          <w:szCs w:val="28"/>
          <w:u w:val="single"/>
        </w:rPr>
        <w:t>REVENUE MONITORING</w:t>
      </w:r>
    </w:p>
    <w:p w:rsidR="0022223F" w:rsidRPr="004B5ED8" w:rsidRDefault="0022223F" w:rsidP="004709BE">
      <w:pPr>
        <w:keepNext/>
        <w:outlineLvl w:val="1"/>
        <w:rPr>
          <w:b/>
          <w:bCs/>
          <w:kern w:val="32"/>
          <w:sz w:val="28"/>
          <w:szCs w:val="28"/>
        </w:rPr>
      </w:pPr>
    </w:p>
    <w:p w:rsidR="0022223F" w:rsidRDefault="0022223F" w:rsidP="00E30FF7">
      <w:pPr>
        <w:pStyle w:val="ListParagraph"/>
        <w:numPr>
          <w:ilvl w:val="0"/>
          <w:numId w:val="42"/>
        </w:numPr>
        <w:spacing w:after="240"/>
        <w:ind w:hanging="720"/>
        <w:jc w:val="both"/>
      </w:pPr>
      <w:r w:rsidRPr="00146C7E">
        <w:t xml:space="preserve">The </w:t>
      </w:r>
      <w:r>
        <w:t>Quarter 2forecast</w:t>
      </w:r>
      <w:r w:rsidRPr="00146C7E">
        <w:t xml:space="preserve"> indicate a potential net budget overspend of £</w:t>
      </w:r>
      <w:r>
        <w:t>262k</w:t>
      </w:r>
      <w:r w:rsidRPr="00146C7E">
        <w:t xml:space="preserve"> on</w:t>
      </w:r>
      <w:r>
        <w:t xml:space="preserve"> Directorate budgets. This is offset by an increase in investment income of £350k giving an overall revenue budget forecast underspend of £88k for 2014/15.</w:t>
      </w:r>
    </w:p>
    <w:p w:rsidR="0022223F" w:rsidRPr="00125447" w:rsidRDefault="0022223F" w:rsidP="00E30FF7">
      <w:pPr>
        <w:pStyle w:val="ListParagraph"/>
        <w:numPr>
          <w:ilvl w:val="0"/>
          <w:numId w:val="42"/>
        </w:numPr>
        <w:ind w:hanging="720"/>
        <w:jc w:val="both"/>
      </w:pPr>
      <w:r>
        <w:t xml:space="preserve">July Cabinet agreed in year savings of £1.601m for implementation with immediate effect, to contribute to future Medium Term Financial Strategy targets. November Cabinet approved a second tranche of in-year savings for immediate implementation totalling £131k. </w:t>
      </w:r>
      <w:r w:rsidRPr="00125447">
        <w:t>Th</w:t>
      </w:r>
      <w:r>
        <w:t>e variances now reported allow for these savings being achieved in full. Table 1 below summarises the Quarter 2 position and Appendix 1 provides more detail:</w:t>
      </w:r>
    </w:p>
    <w:p w:rsidR="0022223F" w:rsidRPr="008A0545" w:rsidRDefault="0022223F" w:rsidP="008A0545"/>
    <w:p w:rsidR="0022223F" w:rsidRPr="00E30FF7" w:rsidRDefault="0022223F" w:rsidP="00E30FF7">
      <w:pPr>
        <w:spacing w:after="120"/>
        <w:ind w:right="488"/>
        <w:jc w:val="both"/>
        <w:rPr>
          <w:b/>
          <w:bCs/>
          <w:u w:val="single"/>
        </w:rPr>
      </w:pPr>
      <w:r w:rsidRPr="00E30FF7">
        <w:rPr>
          <w:b/>
          <w:bCs/>
          <w:u w:val="single"/>
        </w:rPr>
        <w:t>Table 1: Revenue Monitoring – Quarter 22014/15</w:t>
      </w:r>
    </w:p>
    <w:tbl>
      <w:tblPr>
        <w:tblW w:w="8094" w:type="dxa"/>
        <w:tblInd w:w="-106" w:type="dxa"/>
        <w:tblLook w:val="00A0"/>
      </w:tblPr>
      <w:tblGrid>
        <w:gridCol w:w="3120"/>
        <w:gridCol w:w="1573"/>
        <w:gridCol w:w="1662"/>
        <w:gridCol w:w="1006"/>
        <w:gridCol w:w="1006"/>
        <w:gridCol w:w="1006"/>
      </w:tblGrid>
      <w:tr w:rsidR="0022223F" w:rsidRPr="00D5566E">
        <w:trPr>
          <w:trHeight w:val="525"/>
        </w:trPr>
        <w:tc>
          <w:tcPr>
            <w:tcW w:w="3120" w:type="dxa"/>
            <w:tcBorders>
              <w:top w:val="single" w:sz="8" w:space="0" w:color="auto"/>
              <w:left w:val="single" w:sz="8" w:space="0" w:color="auto"/>
              <w:bottom w:val="single" w:sz="8" w:space="0" w:color="auto"/>
              <w:right w:val="single" w:sz="8" w:space="0" w:color="auto"/>
            </w:tcBorders>
            <w:noWrap/>
            <w:vAlign w:val="center"/>
          </w:tcPr>
          <w:p w:rsidR="0022223F" w:rsidRPr="00D5566E" w:rsidRDefault="0022223F" w:rsidP="00D5566E">
            <w:pPr>
              <w:rPr>
                <w:b/>
                <w:bCs/>
                <w:color w:val="000000"/>
                <w:sz w:val="20"/>
                <w:szCs w:val="20"/>
                <w:lang w:eastAsia="en-GB"/>
              </w:rPr>
            </w:pPr>
            <w:r w:rsidRPr="00D5566E">
              <w:rPr>
                <w:b/>
                <w:bCs/>
                <w:color w:val="000000"/>
                <w:sz w:val="20"/>
                <w:szCs w:val="20"/>
                <w:lang w:eastAsia="en-GB"/>
              </w:rPr>
              <w:t> </w:t>
            </w:r>
          </w:p>
        </w:tc>
        <w:tc>
          <w:tcPr>
            <w:tcW w:w="961" w:type="dxa"/>
            <w:tcBorders>
              <w:top w:val="single" w:sz="8" w:space="0" w:color="auto"/>
              <w:left w:val="nil"/>
              <w:bottom w:val="single" w:sz="8" w:space="0" w:color="auto"/>
              <w:right w:val="single" w:sz="8" w:space="0" w:color="auto"/>
            </w:tcBorders>
            <w:vAlign w:val="center"/>
          </w:tcPr>
          <w:p w:rsidR="0022223F" w:rsidRPr="00D5566E" w:rsidRDefault="0022223F" w:rsidP="00D5566E">
            <w:pPr>
              <w:jc w:val="center"/>
              <w:rPr>
                <w:color w:val="000000"/>
                <w:sz w:val="20"/>
                <w:szCs w:val="20"/>
                <w:lang w:eastAsia="en-GB"/>
              </w:rPr>
            </w:pPr>
            <w:r w:rsidRPr="00D5566E">
              <w:rPr>
                <w:color w:val="000000"/>
                <w:sz w:val="20"/>
                <w:szCs w:val="20"/>
                <w:lang w:eastAsia="en-GB"/>
              </w:rPr>
              <w:t>RevisedBudget</w:t>
            </w:r>
          </w:p>
        </w:tc>
        <w:tc>
          <w:tcPr>
            <w:tcW w:w="995" w:type="dxa"/>
            <w:tcBorders>
              <w:top w:val="single" w:sz="8" w:space="0" w:color="auto"/>
              <w:left w:val="nil"/>
              <w:bottom w:val="single" w:sz="8" w:space="0" w:color="auto"/>
              <w:right w:val="single" w:sz="8" w:space="0" w:color="auto"/>
            </w:tcBorders>
            <w:vAlign w:val="center"/>
          </w:tcPr>
          <w:p w:rsidR="0022223F" w:rsidRPr="00D5566E" w:rsidRDefault="0022223F" w:rsidP="00D5566E">
            <w:pPr>
              <w:jc w:val="center"/>
              <w:rPr>
                <w:color w:val="000000"/>
                <w:sz w:val="20"/>
                <w:szCs w:val="20"/>
                <w:lang w:eastAsia="en-GB"/>
              </w:rPr>
            </w:pPr>
            <w:r w:rsidRPr="00D5566E">
              <w:rPr>
                <w:color w:val="000000"/>
                <w:sz w:val="20"/>
                <w:szCs w:val="20"/>
                <w:lang w:eastAsia="en-GB"/>
              </w:rPr>
              <w:t>ForecastOutturn</w:t>
            </w:r>
          </w:p>
        </w:tc>
        <w:tc>
          <w:tcPr>
            <w:tcW w:w="1006" w:type="dxa"/>
            <w:tcBorders>
              <w:top w:val="single" w:sz="8" w:space="0" w:color="auto"/>
              <w:left w:val="nil"/>
              <w:bottom w:val="single" w:sz="8" w:space="0" w:color="auto"/>
              <w:right w:val="single" w:sz="8" w:space="0" w:color="auto"/>
            </w:tcBorders>
            <w:vAlign w:val="center"/>
          </w:tcPr>
          <w:p w:rsidR="0022223F" w:rsidRPr="00D5566E" w:rsidRDefault="0022223F" w:rsidP="00D5566E">
            <w:pPr>
              <w:rPr>
                <w:color w:val="000000"/>
                <w:sz w:val="20"/>
                <w:szCs w:val="20"/>
                <w:lang w:eastAsia="en-GB"/>
              </w:rPr>
            </w:pPr>
            <w:r w:rsidRPr="00D5566E">
              <w:rPr>
                <w:color w:val="000000"/>
                <w:sz w:val="20"/>
                <w:szCs w:val="20"/>
                <w:lang w:eastAsia="en-GB"/>
              </w:rPr>
              <w:t>Quarter 2 Variance</w:t>
            </w:r>
          </w:p>
        </w:tc>
        <w:tc>
          <w:tcPr>
            <w:tcW w:w="1006" w:type="dxa"/>
            <w:tcBorders>
              <w:top w:val="single" w:sz="8" w:space="0" w:color="auto"/>
              <w:left w:val="nil"/>
              <w:bottom w:val="single" w:sz="8" w:space="0" w:color="auto"/>
              <w:right w:val="single" w:sz="8" w:space="0" w:color="auto"/>
            </w:tcBorders>
            <w:noWrap/>
            <w:vAlign w:val="center"/>
          </w:tcPr>
          <w:p w:rsidR="0022223F" w:rsidRPr="00D5566E" w:rsidRDefault="0022223F" w:rsidP="00D5566E">
            <w:pPr>
              <w:jc w:val="right"/>
              <w:rPr>
                <w:color w:val="000000"/>
                <w:sz w:val="20"/>
                <w:szCs w:val="20"/>
                <w:lang w:eastAsia="en-GB"/>
              </w:rPr>
            </w:pPr>
            <w:r w:rsidRPr="00D5566E">
              <w:rPr>
                <w:color w:val="000000"/>
                <w:sz w:val="20"/>
                <w:szCs w:val="20"/>
                <w:lang w:eastAsia="en-GB"/>
              </w:rPr>
              <w:t>Variance</w:t>
            </w:r>
          </w:p>
        </w:tc>
        <w:tc>
          <w:tcPr>
            <w:tcW w:w="1006" w:type="dxa"/>
            <w:tcBorders>
              <w:top w:val="single" w:sz="8" w:space="0" w:color="auto"/>
              <w:left w:val="nil"/>
              <w:bottom w:val="single" w:sz="8" w:space="0" w:color="auto"/>
              <w:right w:val="single" w:sz="8" w:space="0" w:color="auto"/>
            </w:tcBorders>
            <w:vAlign w:val="center"/>
          </w:tcPr>
          <w:p w:rsidR="0022223F" w:rsidRPr="00D5566E" w:rsidRDefault="0022223F" w:rsidP="00D5566E">
            <w:pPr>
              <w:rPr>
                <w:color w:val="000000"/>
                <w:sz w:val="20"/>
                <w:szCs w:val="20"/>
                <w:lang w:eastAsia="en-GB"/>
              </w:rPr>
            </w:pPr>
            <w:r w:rsidRPr="00D5566E">
              <w:rPr>
                <w:color w:val="000000"/>
                <w:sz w:val="20"/>
                <w:szCs w:val="20"/>
                <w:lang w:eastAsia="en-GB"/>
              </w:rPr>
              <w:t>Quarter 1 Variance</w:t>
            </w:r>
          </w:p>
        </w:tc>
      </w:tr>
      <w:tr w:rsidR="0022223F" w:rsidRPr="00D5566E">
        <w:trPr>
          <w:trHeight w:val="300"/>
        </w:trPr>
        <w:tc>
          <w:tcPr>
            <w:tcW w:w="3120" w:type="dxa"/>
            <w:tcBorders>
              <w:top w:val="nil"/>
              <w:left w:val="single" w:sz="8" w:space="0" w:color="auto"/>
              <w:bottom w:val="single" w:sz="8" w:space="0" w:color="auto"/>
              <w:right w:val="single" w:sz="8" w:space="0" w:color="auto"/>
            </w:tcBorders>
            <w:noWrap/>
            <w:vAlign w:val="center"/>
          </w:tcPr>
          <w:p w:rsidR="0022223F" w:rsidRPr="00D5566E" w:rsidRDefault="0022223F" w:rsidP="00D5566E">
            <w:pPr>
              <w:rPr>
                <w:color w:val="000000"/>
                <w:sz w:val="20"/>
                <w:szCs w:val="20"/>
                <w:lang w:eastAsia="en-GB"/>
              </w:rPr>
            </w:pPr>
            <w:r w:rsidRPr="00D5566E">
              <w:rPr>
                <w:color w:val="000000"/>
                <w:lang w:eastAsia="en-GB"/>
              </w:rPr>
              <w:t> </w:t>
            </w:r>
          </w:p>
        </w:tc>
        <w:tc>
          <w:tcPr>
            <w:tcW w:w="961" w:type="dxa"/>
            <w:tcBorders>
              <w:top w:val="nil"/>
              <w:left w:val="nil"/>
              <w:bottom w:val="single" w:sz="8" w:space="0" w:color="auto"/>
              <w:right w:val="single" w:sz="8" w:space="0" w:color="auto"/>
            </w:tcBorders>
            <w:noWrap/>
            <w:vAlign w:val="center"/>
          </w:tcPr>
          <w:p w:rsidR="0022223F" w:rsidRPr="00D5566E" w:rsidRDefault="0022223F" w:rsidP="00D5566E">
            <w:pPr>
              <w:jc w:val="center"/>
              <w:rPr>
                <w:color w:val="000000"/>
                <w:sz w:val="20"/>
                <w:szCs w:val="20"/>
                <w:lang w:eastAsia="en-GB"/>
              </w:rPr>
            </w:pPr>
            <w:r w:rsidRPr="00D5566E">
              <w:rPr>
                <w:color w:val="000000"/>
                <w:sz w:val="20"/>
                <w:szCs w:val="20"/>
                <w:lang w:eastAsia="en-GB"/>
              </w:rPr>
              <w:t>£000</w:t>
            </w:r>
          </w:p>
        </w:tc>
        <w:tc>
          <w:tcPr>
            <w:tcW w:w="995" w:type="dxa"/>
            <w:tcBorders>
              <w:top w:val="nil"/>
              <w:left w:val="nil"/>
              <w:bottom w:val="single" w:sz="8" w:space="0" w:color="auto"/>
              <w:right w:val="single" w:sz="8" w:space="0" w:color="auto"/>
            </w:tcBorders>
            <w:noWrap/>
            <w:vAlign w:val="center"/>
          </w:tcPr>
          <w:p w:rsidR="0022223F" w:rsidRPr="00D5566E" w:rsidRDefault="0022223F" w:rsidP="00D5566E">
            <w:pPr>
              <w:jc w:val="center"/>
              <w:rPr>
                <w:color w:val="000000"/>
                <w:sz w:val="20"/>
                <w:szCs w:val="20"/>
                <w:lang w:eastAsia="en-GB"/>
              </w:rPr>
            </w:pPr>
            <w:r w:rsidRPr="00D5566E">
              <w:rPr>
                <w:color w:val="000000"/>
                <w:sz w:val="20"/>
                <w:szCs w:val="20"/>
                <w:lang w:eastAsia="en-GB"/>
              </w:rPr>
              <w:t>£000</w:t>
            </w:r>
          </w:p>
        </w:tc>
        <w:tc>
          <w:tcPr>
            <w:tcW w:w="1006" w:type="dxa"/>
            <w:tcBorders>
              <w:top w:val="nil"/>
              <w:left w:val="nil"/>
              <w:bottom w:val="single" w:sz="8" w:space="0" w:color="auto"/>
              <w:right w:val="single" w:sz="8" w:space="0" w:color="auto"/>
            </w:tcBorders>
            <w:noWrap/>
            <w:vAlign w:val="center"/>
          </w:tcPr>
          <w:p w:rsidR="0022223F" w:rsidRPr="00D5566E" w:rsidRDefault="0022223F" w:rsidP="00D5566E">
            <w:pPr>
              <w:jc w:val="center"/>
              <w:rPr>
                <w:color w:val="000000"/>
                <w:sz w:val="20"/>
                <w:szCs w:val="20"/>
                <w:lang w:eastAsia="en-GB"/>
              </w:rPr>
            </w:pPr>
            <w:r w:rsidRPr="00D5566E">
              <w:rPr>
                <w:color w:val="000000"/>
                <w:sz w:val="20"/>
                <w:szCs w:val="20"/>
                <w:lang w:eastAsia="en-GB"/>
              </w:rPr>
              <w:t>£000</w:t>
            </w:r>
          </w:p>
        </w:tc>
        <w:tc>
          <w:tcPr>
            <w:tcW w:w="1006" w:type="dxa"/>
            <w:tcBorders>
              <w:top w:val="nil"/>
              <w:left w:val="nil"/>
              <w:bottom w:val="single" w:sz="8" w:space="0" w:color="auto"/>
              <w:right w:val="single" w:sz="8" w:space="0" w:color="auto"/>
            </w:tcBorders>
            <w:noWrap/>
            <w:vAlign w:val="center"/>
          </w:tcPr>
          <w:p w:rsidR="0022223F" w:rsidRPr="00D5566E" w:rsidRDefault="0022223F" w:rsidP="00D5566E">
            <w:pPr>
              <w:jc w:val="right"/>
              <w:rPr>
                <w:color w:val="000000"/>
                <w:sz w:val="20"/>
                <w:szCs w:val="20"/>
                <w:lang w:eastAsia="en-GB"/>
              </w:rPr>
            </w:pPr>
            <w:r w:rsidRPr="00D5566E">
              <w:rPr>
                <w:color w:val="000000"/>
                <w:sz w:val="20"/>
                <w:szCs w:val="20"/>
                <w:lang w:eastAsia="en-GB"/>
              </w:rPr>
              <w:t>%</w:t>
            </w:r>
          </w:p>
        </w:tc>
        <w:tc>
          <w:tcPr>
            <w:tcW w:w="1006" w:type="dxa"/>
            <w:tcBorders>
              <w:top w:val="nil"/>
              <w:left w:val="nil"/>
              <w:bottom w:val="single" w:sz="8" w:space="0" w:color="auto"/>
              <w:right w:val="single" w:sz="8" w:space="0" w:color="auto"/>
            </w:tcBorders>
            <w:noWrap/>
            <w:vAlign w:val="center"/>
          </w:tcPr>
          <w:p w:rsidR="0022223F" w:rsidRPr="00D5566E" w:rsidRDefault="0022223F" w:rsidP="00D5566E">
            <w:pPr>
              <w:jc w:val="center"/>
              <w:rPr>
                <w:color w:val="000000"/>
                <w:sz w:val="20"/>
                <w:szCs w:val="20"/>
                <w:lang w:eastAsia="en-GB"/>
              </w:rPr>
            </w:pPr>
            <w:r w:rsidRPr="00D5566E">
              <w:rPr>
                <w:color w:val="000000"/>
                <w:sz w:val="20"/>
                <w:szCs w:val="20"/>
                <w:lang w:eastAsia="en-GB"/>
              </w:rPr>
              <w:t>£000</w:t>
            </w:r>
          </w:p>
        </w:tc>
      </w:tr>
      <w:tr w:rsidR="0022223F" w:rsidRPr="00D5566E">
        <w:trPr>
          <w:trHeight w:val="300"/>
        </w:trPr>
        <w:tc>
          <w:tcPr>
            <w:tcW w:w="3120" w:type="dxa"/>
            <w:tcBorders>
              <w:top w:val="nil"/>
              <w:left w:val="single" w:sz="8" w:space="0" w:color="auto"/>
              <w:bottom w:val="single" w:sz="8" w:space="0" w:color="auto"/>
              <w:right w:val="single" w:sz="8" w:space="0" w:color="auto"/>
            </w:tcBorders>
            <w:noWrap/>
            <w:vAlign w:val="bottom"/>
          </w:tcPr>
          <w:p w:rsidR="0022223F" w:rsidRPr="00D5566E" w:rsidRDefault="0022223F" w:rsidP="00D5566E">
            <w:pPr>
              <w:rPr>
                <w:color w:val="000000"/>
                <w:sz w:val="20"/>
                <w:szCs w:val="20"/>
                <w:lang w:eastAsia="en-GB"/>
              </w:rPr>
            </w:pPr>
            <w:r w:rsidRPr="00D5566E">
              <w:rPr>
                <w:color w:val="000000"/>
                <w:sz w:val="20"/>
                <w:szCs w:val="20"/>
                <w:lang w:eastAsia="en-GB"/>
              </w:rPr>
              <w:t>Resources</w:t>
            </w:r>
          </w:p>
        </w:tc>
        <w:tc>
          <w:tcPr>
            <w:tcW w:w="961" w:type="dxa"/>
            <w:tcBorders>
              <w:top w:val="nil"/>
              <w:left w:val="nil"/>
              <w:bottom w:val="single" w:sz="8" w:space="0" w:color="auto"/>
              <w:right w:val="single" w:sz="8" w:space="0" w:color="auto"/>
            </w:tcBorders>
            <w:noWrap/>
            <w:vAlign w:val="bottom"/>
          </w:tcPr>
          <w:p w:rsidR="0022223F" w:rsidRPr="00D5566E" w:rsidRDefault="0022223F" w:rsidP="00D5566E">
            <w:pPr>
              <w:jc w:val="right"/>
              <w:rPr>
                <w:sz w:val="20"/>
                <w:szCs w:val="20"/>
                <w:lang w:eastAsia="en-GB"/>
              </w:rPr>
            </w:pPr>
            <w:r w:rsidRPr="00D5566E">
              <w:rPr>
                <w:sz w:val="20"/>
                <w:szCs w:val="20"/>
                <w:lang w:eastAsia="en-GB"/>
              </w:rPr>
              <w:t>26,629</w:t>
            </w:r>
          </w:p>
        </w:tc>
        <w:tc>
          <w:tcPr>
            <w:tcW w:w="995" w:type="dxa"/>
            <w:tcBorders>
              <w:top w:val="nil"/>
              <w:left w:val="nil"/>
              <w:bottom w:val="single" w:sz="8" w:space="0" w:color="auto"/>
              <w:right w:val="single" w:sz="8" w:space="0" w:color="auto"/>
            </w:tcBorders>
            <w:noWrap/>
            <w:vAlign w:val="bottom"/>
          </w:tcPr>
          <w:p w:rsidR="0022223F" w:rsidRPr="00D5566E" w:rsidRDefault="0022223F" w:rsidP="00D5566E">
            <w:pPr>
              <w:jc w:val="right"/>
              <w:rPr>
                <w:sz w:val="20"/>
                <w:szCs w:val="20"/>
                <w:lang w:eastAsia="en-GB"/>
              </w:rPr>
            </w:pPr>
            <w:r w:rsidRPr="00D5566E">
              <w:rPr>
                <w:sz w:val="20"/>
                <w:szCs w:val="20"/>
                <w:lang w:eastAsia="en-GB"/>
              </w:rPr>
              <w:t>26,099</w:t>
            </w:r>
          </w:p>
        </w:tc>
        <w:tc>
          <w:tcPr>
            <w:tcW w:w="1006" w:type="dxa"/>
            <w:tcBorders>
              <w:top w:val="nil"/>
              <w:left w:val="nil"/>
              <w:bottom w:val="single" w:sz="8" w:space="0" w:color="auto"/>
              <w:right w:val="single" w:sz="8" w:space="0" w:color="auto"/>
            </w:tcBorders>
            <w:noWrap/>
            <w:vAlign w:val="bottom"/>
          </w:tcPr>
          <w:p w:rsidR="0022223F" w:rsidRPr="00D5566E" w:rsidRDefault="0022223F" w:rsidP="00D5566E">
            <w:pPr>
              <w:jc w:val="right"/>
              <w:rPr>
                <w:color w:val="000000"/>
                <w:sz w:val="20"/>
                <w:szCs w:val="20"/>
                <w:lang w:eastAsia="en-GB"/>
              </w:rPr>
            </w:pPr>
            <w:r w:rsidRPr="00D5566E">
              <w:rPr>
                <w:color w:val="000000"/>
                <w:sz w:val="20"/>
                <w:szCs w:val="20"/>
                <w:lang w:eastAsia="en-GB"/>
              </w:rPr>
              <w:t>(530)</w:t>
            </w:r>
          </w:p>
        </w:tc>
        <w:tc>
          <w:tcPr>
            <w:tcW w:w="1006" w:type="dxa"/>
            <w:tcBorders>
              <w:top w:val="nil"/>
              <w:left w:val="nil"/>
              <w:bottom w:val="single" w:sz="8" w:space="0" w:color="auto"/>
              <w:right w:val="single" w:sz="8" w:space="0" w:color="auto"/>
            </w:tcBorders>
            <w:noWrap/>
            <w:vAlign w:val="bottom"/>
          </w:tcPr>
          <w:p w:rsidR="0022223F" w:rsidRPr="00D5566E" w:rsidRDefault="0022223F" w:rsidP="00D5566E">
            <w:pPr>
              <w:jc w:val="right"/>
              <w:rPr>
                <w:color w:val="000000"/>
                <w:sz w:val="20"/>
                <w:szCs w:val="20"/>
                <w:lang w:eastAsia="en-GB"/>
              </w:rPr>
            </w:pPr>
            <w:r w:rsidRPr="00D5566E">
              <w:rPr>
                <w:color w:val="000000"/>
                <w:sz w:val="20"/>
                <w:szCs w:val="20"/>
                <w:lang w:eastAsia="en-GB"/>
              </w:rPr>
              <w:t>-2.0%</w:t>
            </w:r>
          </w:p>
        </w:tc>
        <w:tc>
          <w:tcPr>
            <w:tcW w:w="1006" w:type="dxa"/>
            <w:tcBorders>
              <w:top w:val="nil"/>
              <w:left w:val="nil"/>
              <w:bottom w:val="single" w:sz="8" w:space="0" w:color="auto"/>
              <w:right w:val="single" w:sz="8" w:space="0" w:color="auto"/>
            </w:tcBorders>
            <w:noWrap/>
            <w:vAlign w:val="bottom"/>
          </w:tcPr>
          <w:p w:rsidR="0022223F" w:rsidRPr="00D5566E" w:rsidRDefault="0022223F" w:rsidP="00D5566E">
            <w:pPr>
              <w:jc w:val="right"/>
              <w:rPr>
                <w:color w:val="000000"/>
                <w:sz w:val="20"/>
                <w:szCs w:val="20"/>
                <w:lang w:eastAsia="en-GB"/>
              </w:rPr>
            </w:pPr>
            <w:r w:rsidRPr="00D5566E">
              <w:rPr>
                <w:color w:val="000000"/>
                <w:sz w:val="20"/>
                <w:szCs w:val="20"/>
                <w:lang w:eastAsia="en-GB"/>
              </w:rPr>
              <w:t>(377)</w:t>
            </w:r>
          </w:p>
        </w:tc>
      </w:tr>
      <w:tr w:rsidR="0022223F" w:rsidRPr="00D5566E">
        <w:trPr>
          <w:trHeight w:val="300"/>
        </w:trPr>
        <w:tc>
          <w:tcPr>
            <w:tcW w:w="3120" w:type="dxa"/>
            <w:tcBorders>
              <w:top w:val="nil"/>
              <w:left w:val="single" w:sz="8" w:space="0" w:color="auto"/>
              <w:bottom w:val="single" w:sz="8" w:space="0" w:color="auto"/>
              <w:right w:val="single" w:sz="8" w:space="0" w:color="auto"/>
            </w:tcBorders>
            <w:noWrap/>
            <w:vAlign w:val="bottom"/>
          </w:tcPr>
          <w:p w:rsidR="0022223F" w:rsidRPr="00D5566E" w:rsidRDefault="0022223F" w:rsidP="00D5566E">
            <w:pPr>
              <w:rPr>
                <w:color w:val="000000"/>
                <w:sz w:val="20"/>
                <w:szCs w:val="20"/>
                <w:lang w:eastAsia="en-GB"/>
              </w:rPr>
            </w:pPr>
            <w:r w:rsidRPr="00D5566E">
              <w:rPr>
                <w:color w:val="000000"/>
                <w:sz w:val="20"/>
                <w:szCs w:val="20"/>
                <w:lang w:eastAsia="en-GB"/>
              </w:rPr>
              <w:t>Environment and Enterprise</w:t>
            </w:r>
          </w:p>
        </w:tc>
        <w:tc>
          <w:tcPr>
            <w:tcW w:w="961" w:type="dxa"/>
            <w:tcBorders>
              <w:top w:val="nil"/>
              <w:left w:val="nil"/>
              <w:bottom w:val="single" w:sz="8" w:space="0" w:color="auto"/>
              <w:right w:val="single" w:sz="8" w:space="0" w:color="auto"/>
            </w:tcBorders>
            <w:noWrap/>
            <w:vAlign w:val="bottom"/>
          </w:tcPr>
          <w:p w:rsidR="0022223F" w:rsidRPr="00D5566E" w:rsidRDefault="0022223F" w:rsidP="00D5566E">
            <w:pPr>
              <w:jc w:val="right"/>
              <w:rPr>
                <w:sz w:val="20"/>
                <w:szCs w:val="20"/>
                <w:lang w:eastAsia="en-GB"/>
              </w:rPr>
            </w:pPr>
            <w:r w:rsidRPr="00D5566E">
              <w:rPr>
                <w:lang w:eastAsia="en-GB"/>
              </w:rPr>
              <w:t>41,096</w:t>
            </w:r>
          </w:p>
        </w:tc>
        <w:tc>
          <w:tcPr>
            <w:tcW w:w="995" w:type="dxa"/>
            <w:tcBorders>
              <w:top w:val="nil"/>
              <w:left w:val="nil"/>
              <w:bottom w:val="single" w:sz="8" w:space="0" w:color="auto"/>
              <w:right w:val="single" w:sz="8" w:space="0" w:color="auto"/>
            </w:tcBorders>
            <w:noWrap/>
            <w:vAlign w:val="bottom"/>
          </w:tcPr>
          <w:p w:rsidR="0022223F" w:rsidRPr="00D5566E" w:rsidRDefault="0022223F" w:rsidP="00D5566E">
            <w:pPr>
              <w:jc w:val="right"/>
              <w:rPr>
                <w:sz w:val="20"/>
                <w:szCs w:val="20"/>
                <w:lang w:eastAsia="en-GB"/>
              </w:rPr>
            </w:pPr>
            <w:r w:rsidRPr="00D5566E">
              <w:rPr>
                <w:lang w:eastAsia="en-GB"/>
              </w:rPr>
              <w:t>40,615</w:t>
            </w:r>
          </w:p>
        </w:tc>
        <w:tc>
          <w:tcPr>
            <w:tcW w:w="1006" w:type="dxa"/>
            <w:tcBorders>
              <w:top w:val="nil"/>
              <w:left w:val="nil"/>
              <w:bottom w:val="single" w:sz="8" w:space="0" w:color="auto"/>
              <w:right w:val="single" w:sz="8" w:space="0" w:color="auto"/>
            </w:tcBorders>
            <w:noWrap/>
            <w:vAlign w:val="bottom"/>
          </w:tcPr>
          <w:p w:rsidR="0022223F" w:rsidRPr="00D5566E" w:rsidRDefault="0022223F" w:rsidP="00D5566E">
            <w:pPr>
              <w:jc w:val="right"/>
              <w:rPr>
                <w:color w:val="000000"/>
                <w:sz w:val="20"/>
                <w:szCs w:val="20"/>
                <w:lang w:eastAsia="en-GB"/>
              </w:rPr>
            </w:pPr>
            <w:r w:rsidRPr="00D5566E">
              <w:rPr>
                <w:color w:val="000000"/>
                <w:sz w:val="20"/>
                <w:szCs w:val="20"/>
                <w:lang w:eastAsia="en-GB"/>
              </w:rPr>
              <w:t>(481)</w:t>
            </w:r>
          </w:p>
        </w:tc>
        <w:tc>
          <w:tcPr>
            <w:tcW w:w="1006" w:type="dxa"/>
            <w:tcBorders>
              <w:top w:val="nil"/>
              <w:left w:val="nil"/>
              <w:bottom w:val="single" w:sz="8" w:space="0" w:color="auto"/>
              <w:right w:val="single" w:sz="8" w:space="0" w:color="auto"/>
            </w:tcBorders>
            <w:noWrap/>
            <w:vAlign w:val="bottom"/>
          </w:tcPr>
          <w:p w:rsidR="0022223F" w:rsidRPr="00D5566E" w:rsidRDefault="0022223F" w:rsidP="00D5566E">
            <w:pPr>
              <w:jc w:val="right"/>
              <w:rPr>
                <w:color w:val="000000"/>
                <w:sz w:val="20"/>
                <w:szCs w:val="20"/>
                <w:lang w:eastAsia="en-GB"/>
              </w:rPr>
            </w:pPr>
            <w:r w:rsidRPr="00D5566E">
              <w:rPr>
                <w:color w:val="000000"/>
                <w:sz w:val="20"/>
                <w:szCs w:val="20"/>
                <w:lang w:eastAsia="en-GB"/>
              </w:rPr>
              <w:t>-1.2%</w:t>
            </w:r>
          </w:p>
        </w:tc>
        <w:tc>
          <w:tcPr>
            <w:tcW w:w="1006" w:type="dxa"/>
            <w:tcBorders>
              <w:top w:val="nil"/>
              <w:left w:val="nil"/>
              <w:bottom w:val="single" w:sz="8" w:space="0" w:color="auto"/>
              <w:right w:val="single" w:sz="8" w:space="0" w:color="auto"/>
            </w:tcBorders>
            <w:noWrap/>
            <w:vAlign w:val="bottom"/>
          </w:tcPr>
          <w:p w:rsidR="0022223F" w:rsidRPr="00D5566E" w:rsidRDefault="0022223F" w:rsidP="00D5566E">
            <w:pPr>
              <w:jc w:val="right"/>
              <w:rPr>
                <w:color w:val="000000"/>
                <w:sz w:val="20"/>
                <w:szCs w:val="20"/>
                <w:lang w:eastAsia="en-GB"/>
              </w:rPr>
            </w:pPr>
            <w:r w:rsidRPr="00D5566E">
              <w:rPr>
                <w:color w:val="000000"/>
                <w:sz w:val="20"/>
                <w:szCs w:val="20"/>
                <w:lang w:eastAsia="en-GB"/>
              </w:rPr>
              <w:t>0</w:t>
            </w:r>
          </w:p>
        </w:tc>
      </w:tr>
      <w:tr w:rsidR="0022223F" w:rsidRPr="00D5566E">
        <w:trPr>
          <w:trHeight w:val="300"/>
        </w:trPr>
        <w:tc>
          <w:tcPr>
            <w:tcW w:w="3120" w:type="dxa"/>
            <w:tcBorders>
              <w:top w:val="nil"/>
              <w:left w:val="single" w:sz="8" w:space="0" w:color="auto"/>
              <w:bottom w:val="single" w:sz="8" w:space="0" w:color="auto"/>
              <w:right w:val="single" w:sz="8" w:space="0" w:color="auto"/>
            </w:tcBorders>
            <w:noWrap/>
            <w:vAlign w:val="bottom"/>
          </w:tcPr>
          <w:p w:rsidR="0022223F" w:rsidRPr="00D5566E" w:rsidRDefault="0022223F" w:rsidP="00D5566E">
            <w:pPr>
              <w:rPr>
                <w:color w:val="000000"/>
                <w:sz w:val="20"/>
                <w:szCs w:val="20"/>
                <w:lang w:eastAsia="en-GB"/>
              </w:rPr>
            </w:pPr>
            <w:r w:rsidRPr="00D5566E">
              <w:rPr>
                <w:color w:val="000000"/>
                <w:sz w:val="20"/>
                <w:szCs w:val="20"/>
                <w:lang w:eastAsia="en-GB"/>
              </w:rPr>
              <w:t>Community, Health and Wellbeing</w:t>
            </w:r>
          </w:p>
        </w:tc>
        <w:tc>
          <w:tcPr>
            <w:tcW w:w="961" w:type="dxa"/>
            <w:tcBorders>
              <w:top w:val="nil"/>
              <w:left w:val="nil"/>
              <w:bottom w:val="single" w:sz="8" w:space="0" w:color="auto"/>
              <w:right w:val="single" w:sz="8" w:space="0" w:color="auto"/>
            </w:tcBorders>
            <w:vAlign w:val="bottom"/>
          </w:tcPr>
          <w:p w:rsidR="0022223F" w:rsidRPr="00D5566E" w:rsidRDefault="0022223F" w:rsidP="00D5566E">
            <w:pPr>
              <w:jc w:val="right"/>
              <w:rPr>
                <w:sz w:val="20"/>
                <w:szCs w:val="20"/>
                <w:lang w:eastAsia="en-GB"/>
              </w:rPr>
            </w:pPr>
            <w:r w:rsidRPr="00D5566E">
              <w:rPr>
                <w:sz w:val="20"/>
                <w:szCs w:val="20"/>
                <w:lang w:eastAsia="en-GB"/>
              </w:rPr>
              <w:t>75,811</w:t>
            </w:r>
          </w:p>
        </w:tc>
        <w:tc>
          <w:tcPr>
            <w:tcW w:w="995" w:type="dxa"/>
            <w:tcBorders>
              <w:top w:val="nil"/>
              <w:left w:val="nil"/>
              <w:bottom w:val="single" w:sz="8" w:space="0" w:color="auto"/>
              <w:right w:val="single" w:sz="8" w:space="0" w:color="auto"/>
            </w:tcBorders>
            <w:vAlign w:val="bottom"/>
          </w:tcPr>
          <w:p w:rsidR="0022223F" w:rsidRPr="00D5566E" w:rsidRDefault="0022223F" w:rsidP="00D5566E">
            <w:pPr>
              <w:jc w:val="right"/>
              <w:rPr>
                <w:sz w:val="20"/>
                <w:szCs w:val="20"/>
                <w:lang w:eastAsia="en-GB"/>
              </w:rPr>
            </w:pPr>
            <w:r w:rsidRPr="00D5566E">
              <w:rPr>
                <w:sz w:val="20"/>
                <w:szCs w:val="20"/>
                <w:lang w:eastAsia="en-GB"/>
              </w:rPr>
              <w:t>76,273</w:t>
            </w:r>
          </w:p>
        </w:tc>
        <w:tc>
          <w:tcPr>
            <w:tcW w:w="1006" w:type="dxa"/>
            <w:tcBorders>
              <w:top w:val="nil"/>
              <w:left w:val="nil"/>
              <w:bottom w:val="single" w:sz="8" w:space="0" w:color="auto"/>
              <w:right w:val="single" w:sz="8" w:space="0" w:color="auto"/>
            </w:tcBorders>
            <w:noWrap/>
            <w:vAlign w:val="bottom"/>
          </w:tcPr>
          <w:p w:rsidR="0022223F" w:rsidRPr="00D5566E" w:rsidRDefault="0022223F" w:rsidP="00D5566E">
            <w:pPr>
              <w:jc w:val="right"/>
              <w:rPr>
                <w:color w:val="000000"/>
                <w:sz w:val="20"/>
                <w:szCs w:val="20"/>
                <w:lang w:eastAsia="en-GB"/>
              </w:rPr>
            </w:pPr>
            <w:r w:rsidRPr="00D5566E">
              <w:rPr>
                <w:color w:val="000000"/>
                <w:sz w:val="20"/>
                <w:szCs w:val="20"/>
                <w:lang w:eastAsia="en-GB"/>
              </w:rPr>
              <w:t>462</w:t>
            </w:r>
          </w:p>
        </w:tc>
        <w:tc>
          <w:tcPr>
            <w:tcW w:w="1006" w:type="dxa"/>
            <w:tcBorders>
              <w:top w:val="nil"/>
              <w:left w:val="nil"/>
              <w:bottom w:val="single" w:sz="8" w:space="0" w:color="auto"/>
              <w:right w:val="single" w:sz="8" w:space="0" w:color="auto"/>
            </w:tcBorders>
            <w:noWrap/>
            <w:vAlign w:val="bottom"/>
          </w:tcPr>
          <w:p w:rsidR="0022223F" w:rsidRPr="00D5566E" w:rsidRDefault="0022223F" w:rsidP="00D5566E">
            <w:pPr>
              <w:jc w:val="right"/>
              <w:rPr>
                <w:color w:val="000000"/>
                <w:sz w:val="20"/>
                <w:szCs w:val="20"/>
                <w:lang w:eastAsia="en-GB"/>
              </w:rPr>
            </w:pPr>
            <w:r w:rsidRPr="00D5566E">
              <w:rPr>
                <w:color w:val="000000"/>
                <w:sz w:val="20"/>
                <w:szCs w:val="20"/>
                <w:lang w:eastAsia="en-GB"/>
              </w:rPr>
              <w:t>0.6%</w:t>
            </w:r>
          </w:p>
        </w:tc>
        <w:tc>
          <w:tcPr>
            <w:tcW w:w="1006" w:type="dxa"/>
            <w:tcBorders>
              <w:top w:val="nil"/>
              <w:left w:val="nil"/>
              <w:bottom w:val="single" w:sz="8" w:space="0" w:color="auto"/>
              <w:right w:val="single" w:sz="8" w:space="0" w:color="auto"/>
            </w:tcBorders>
            <w:noWrap/>
            <w:vAlign w:val="bottom"/>
          </w:tcPr>
          <w:p w:rsidR="0022223F" w:rsidRPr="00D5566E" w:rsidRDefault="0022223F" w:rsidP="00D5566E">
            <w:pPr>
              <w:jc w:val="right"/>
              <w:rPr>
                <w:color w:val="000000"/>
                <w:sz w:val="20"/>
                <w:szCs w:val="20"/>
                <w:lang w:eastAsia="en-GB"/>
              </w:rPr>
            </w:pPr>
            <w:r w:rsidRPr="00D5566E">
              <w:rPr>
                <w:color w:val="000000"/>
                <w:sz w:val="20"/>
                <w:szCs w:val="20"/>
                <w:lang w:eastAsia="en-GB"/>
              </w:rPr>
              <w:t>722</w:t>
            </w:r>
          </w:p>
        </w:tc>
      </w:tr>
      <w:tr w:rsidR="0022223F" w:rsidRPr="00D5566E">
        <w:trPr>
          <w:trHeight w:val="300"/>
        </w:trPr>
        <w:tc>
          <w:tcPr>
            <w:tcW w:w="3120" w:type="dxa"/>
            <w:tcBorders>
              <w:top w:val="nil"/>
              <w:left w:val="single" w:sz="8" w:space="0" w:color="auto"/>
              <w:bottom w:val="single" w:sz="8" w:space="0" w:color="auto"/>
              <w:right w:val="single" w:sz="8" w:space="0" w:color="auto"/>
            </w:tcBorders>
            <w:vAlign w:val="bottom"/>
          </w:tcPr>
          <w:p w:rsidR="0022223F" w:rsidRPr="00D5566E" w:rsidRDefault="0022223F" w:rsidP="00D5566E">
            <w:pPr>
              <w:jc w:val="both"/>
              <w:rPr>
                <w:color w:val="000000"/>
                <w:sz w:val="20"/>
                <w:szCs w:val="20"/>
                <w:lang w:eastAsia="en-GB"/>
              </w:rPr>
            </w:pPr>
            <w:r w:rsidRPr="00D5566E">
              <w:rPr>
                <w:color w:val="000000"/>
                <w:sz w:val="20"/>
                <w:szCs w:val="20"/>
                <w:lang w:eastAsia="en-GB"/>
              </w:rPr>
              <w:t>Children and Families</w:t>
            </w:r>
          </w:p>
        </w:tc>
        <w:tc>
          <w:tcPr>
            <w:tcW w:w="961" w:type="dxa"/>
            <w:tcBorders>
              <w:top w:val="nil"/>
              <w:left w:val="nil"/>
              <w:bottom w:val="single" w:sz="8" w:space="0" w:color="auto"/>
              <w:right w:val="single" w:sz="8" w:space="0" w:color="auto"/>
            </w:tcBorders>
            <w:vAlign w:val="bottom"/>
          </w:tcPr>
          <w:p w:rsidR="0022223F" w:rsidRPr="00D5566E" w:rsidRDefault="0022223F" w:rsidP="00D5566E">
            <w:pPr>
              <w:jc w:val="right"/>
              <w:rPr>
                <w:sz w:val="20"/>
                <w:szCs w:val="20"/>
                <w:lang w:eastAsia="en-GB"/>
              </w:rPr>
            </w:pPr>
            <w:r w:rsidRPr="00D5566E">
              <w:rPr>
                <w:sz w:val="20"/>
                <w:szCs w:val="20"/>
                <w:lang w:eastAsia="en-GB"/>
              </w:rPr>
              <w:t>47,166</w:t>
            </w:r>
          </w:p>
        </w:tc>
        <w:tc>
          <w:tcPr>
            <w:tcW w:w="995" w:type="dxa"/>
            <w:tcBorders>
              <w:top w:val="nil"/>
              <w:left w:val="nil"/>
              <w:bottom w:val="single" w:sz="8" w:space="0" w:color="auto"/>
              <w:right w:val="single" w:sz="8" w:space="0" w:color="auto"/>
            </w:tcBorders>
            <w:vAlign w:val="bottom"/>
          </w:tcPr>
          <w:p w:rsidR="0022223F" w:rsidRPr="00D5566E" w:rsidRDefault="0022223F" w:rsidP="00D5566E">
            <w:pPr>
              <w:jc w:val="right"/>
              <w:rPr>
                <w:sz w:val="20"/>
                <w:szCs w:val="20"/>
                <w:lang w:eastAsia="en-GB"/>
              </w:rPr>
            </w:pPr>
            <w:r w:rsidRPr="00D5566E">
              <w:rPr>
                <w:sz w:val="20"/>
                <w:szCs w:val="20"/>
                <w:lang w:eastAsia="en-GB"/>
              </w:rPr>
              <w:t>47,977</w:t>
            </w:r>
          </w:p>
        </w:tc>
        <w:tc>
          <w:tcPr>
            <w:tcW w:w="1006" w:type="dxa"/>
            <w:tcBorders>
              <w:top w:val="nil"/>
              <w:left w:val="nil"/>
              <w:bottom w:val="single" w:sz="8" w:space="0" w:color="auto"/>
              <w:right w:val="single" w:sz="8" w:space="0" w:color="auto"/>
            </w:tcBorders>
            <w:noWrap/>
            <w:vAlign w:val="bottom"/>
          </w:tcPr>
          <w:p w:rsidR="0022223F" w:rsidRPr="00D5566E" w:rsidRDefault="0022223F" w:rsidP="00D5566E">
            <w:pPr>
              <w:jc w:val="right"/>
              <w:rPr>
                <w:color w:val="000000"/>
                <w:sz w:val="20"/>
                <w:szCs w:val="20"/>
                <w:lang w:eastAsia="en-GB"/>
              </w:rPr>
            </w:pPr>
            <w:r w:rsidRPr="00D5566E">
              <w:rPr>
                <w:color w:val="000000"/>
                <w:sz w:val="20"/>
                <w:szCs w:val="20"/>
                <w:lang w:eastAsia="en-GB"/>
              </w:rPr>
              <w:t>811</w:t>
            </w:r>
          </w:p>
        </w:tc>
        <w:tc>
          <w:tcPr>
            <w:tcW w:w="1006" w:type="dxa"/>
            <w:tcBorders>
              <w:top w:val="nil"/>
              <w:left w:val="nil"/>
              <w:bottom w:val="single" w:sz="8" w:space="0" w:color="auto"/>
              <w:right w:val="single" w:sz="8" w:space="0" w:color="auto"/>
            </w:tcBorders>
            <w:noWrap/>
            <w:vAlign w:val="bottom"/>
          </w:tcPr>
          <w:p w:rsidR="0022223F" w:rsidRPr="00D5566E" w:rsidRDefault="0022223F" w:rsidP="00D5566E">
            <w:pPr>
              <w:jc w:val="right"/>
              <w:rPr>
                <w:color w:val="000000"/>
                <w:sz w:val="20"/>
                <w:szCs w:val="20"/>
                <w:lang w:eastAsia="en-GB"/>
              </w:rPr>
            </w:pPr>
            <w:r w:rsidRPr="00D5566E">
              <w:rPr>
                <w:color w:val="000000"/>
                <w:sz w:val="20"/>
                <w:szCs w:val="20"/>
                <w:lang w:eastAsia="en-GB"/>
              </w:rPr>
              <w:t>1.7%</w:t>
            </w:r>
          </w:p>
        </w:tc>
        <w:tc>
          <w:tcPr>
            <w:tcW w:w="1006" w:type="dxa"/>
            <w:tcBorders>
              <w:top w:val="nil"/>
              <w:left w:val="nil"/>
              <w:bottom w:val="single" w:sz="8" w:space="0" w:color="auto"/>
              <w:right w:val="single" w:sz="8" w:space="0" w:color="auto"/>
            </w:tcBorders>
            <w:noWrap/>
            <w:vAlign w:val="bottom"/>
          </w:tcPr>
          <w:p w:rsidR="0022223F" w:rsidRPr="00D5566E" w:rsidRDefault="0022223F" w:rsidP="00D5566E">
            <w:pPr>
              <w:jc w:val="right"/>
              <w:rPr>
                <w:color w:val="000000"/>
                <w:sz w:val="20"/>
                <w:szCs w:val="20"/>
                <w:lang w:eastAsia="en-GB"/>
              </w:rPr>
            </w:pPr>
            <w:r w:rsidRPr="00D5566E">
              <w:rPr>
                <w:color w:val="000000"/>
                <w:sz w:val="20"/>
                <w:szCs w:val="20"/>
                <w:lang w:eastAsia="en-GB"/>
              </w:rPr>
              <w:t>641</w:t>
            </w:r>
          </w:p>
        </w:tc>
      </w:tr>
      <w:tr w:rsidR="0022223F" w:rsidRPr="00D5566E">
        <w:trPr>
          <w:trHeight w:val="300"/>
        </w:trPr>
        <w:tc>
          <w:tcPr>
            <w:tcW w:w="3120" w:type="dxa"/>
            <w:tcBorders>
              <w:top w:val="nil"/>
              <w:left w:val="single" w:sz="8" w:space="0" w:color="auto"/>
              <w:bottom w:val="single" w:sz="8" w:space="0" w:color="auto"/>
              <w:right w:val="single" w:sz="8" w:space="0" w:color="auto"/>
            </w:tcBorders>
            <w:noWrap/>
            <w:vAlign w:val="bottom"/>
          </w:tcPr>
          <w:p w:rsidR="0022223F" w:rsidRPr="00D5566E" w:rsidRDefault="0022223F" w:rsidP="00D5566E">
            <w:pPr>
              <w:rPr>
                <w:b/>
                <w:bCs/>
                <w:color w:val="000000"/>
                <w:sz w:val="20"/>
                <w:szCs w:val="20"/>
                <w:lang w:eastAsia="en-GB"/>
              </w:rPr>
            </w:pPr>
            <w:r w:rsidRPr="00D5566E">
              <w:rPr>
                <w:b/>
                <w:bCs/>
                <w:color w:val="000000"/>
                <w:sz w:val="20"/>
                <w:szCs w:val="20"/>
                <w:lang w:eastAsia="en-GB"/>
              </w:rPr>
              <w:t>Total Directorate Budgets</w:t>
            </w:r>
          </w:p>
        </w:tc>
        <w:tc>
          <w:tcPr>
            <w:tcW w:w="961" w:type="dxa"/>
            <w:tcBorders>
              <w:top w:val="nil"/>
              <w:left w:val="nil"/>
              <w:bottom w:val="single" w:sz="8" w:space="0" w:color="auto"/>
              <w:right w:val="single" w:sz="8" w:space="0" w:color="auto"/>
            </w:tcBorders>
            <w:noWrap/>
            <w:vAlign w:val="bottom"/>
          </w:tcPr>
          <w:p w:rsidR="0022223F" w:rsidRPr="00D5566E" w:rsidRDefault="0022223F" w:rsidP="00D5566E">
            <w:pPr>
              <w:jc w:val="right"/>
              <w:rPr>
                <w:b/>
                <w:bCs/>
                <w:color w:val="000000"/>
                <w:sz w:val="20"/>
                <w:szCs w:val="20"/>
                <w:lang w:eastAsia="en-GB"/>
              </w:rPr>
            </w:pPr>
            <w:r w:rsidRPr="00D5566E">
              <w:rPr>
                <w:b/>
                <w:bCs/>
                <w:color w:val="000000"/>
                <w:sz w:val="20"/>
                <w:szCs w:val="20"/>
                <w:lang w:eastAsia="en-GB"/>
              </w:rPr>
              <w:t>190,702</w:t>
            </w:r>
          </w:p>
        </w:tc>
        <w:tc>
          <w:tcPr>
            <w:tcW w:w="995" w:type="dxa"/>
            <w:tcBorders>
              <w:top w:val="nil"/>
              <w:left w:val="nil"/>
              <w:bottom w:val="single" w:sz="8" w:space="0" w:color="auto"/>
              <w:right w:val="single" w:sz="8" w:space="0" w:color="auto"/>
            </w:tcBorders>
            <w:noWrap/>
            <w:vAlign w:val="bottom"/>
          </w:tcPr>
          <w:p w:rsidR="0022223F" w:rsidRPr="00D5566E" w:rsidRDefault="0022223F" w:rsidP="00D5566E">
            <w:pPr>
              <w:jc w:val="right"/>
              <w:rPr>
                <w:b/>
                <w:bCs/>
                <w:color w:val="000000"/>
                <w:sz w:val="20"/>
                <w:szCs w:val="20"/>
                <w:lang w:eastAsia="en-GB"/>
              </w:rPr>
            </w:pPr>
            <w:r w:rsidRPr="00D5566E">
              <w:rPr>
                <w:b/>
                <w:bCs/>
                <w:color w:val="000000"/>
                <w:sz w:val="20"/>
                <w:szCs w:val="20"/>
                <w:lang w:eastAsia="en-GB"/>
              </w:rPr>
              <w:t>190,964</w:t>
            </w:r>
          </w:p>
        </w:tc>
        <w:tc>
          <w:tcPr>
            <w:tcW w:w="1006" w:type="dxa"/>
            <w:tcBorders>
              <w:top w:val="nil"/>
              <w:left w:val="nil"/>
              <w:bottom w:val="single" w:sz="8" w:space="0" w:color="auto"/>
              <w:right w:val="single" w:sz="8" w:space="0" w:color="auto"/>
            </w:tcBorders>
            <w:noWrap/>
            <w:vAlign w:val="bottom"/>
          </w:tcPr>
          <w:p w:rsidR="0022223F" w:rsidRPr="00D5566E" w:rsidRDefault="0022223F" w:rsidP="00D5566E">
            <w:pPr>
              <w:jc w:val="right"/>
              <w:rPr>
                <w:b/>
                <w:bCs/>
                <w:color w:val="000000"/>
                <w:sz w:val="20"/>
                <w:szCs w:val="20"/>
                <w:lang w:eastAsia="en-GB"/>
              </w:rPr>
            </w:pPr>
            <w:r w:rsidRPr="00D5566E">
              <w:rPr>
                <w:b/>
                <w:bCs/>
                <w:color w:val="000000"/>
                <w:sz w:val="20"/>
                <w:szCs w:val="20"/>
                <w:lang w:eastAsia="en-GB"/>
              </w:rPr>
              <w:t>262</w:t>
            </w:r>
          </w:p>
        </w:tc>
        <w:tc>
          <w:tcPr>
            <w:tcW w:w="1006" w:type="dxa"/>
            <w:tcBorders>
              <w:top w:val="nil"/>
              <w:left w:val="nil"/>
              <w:bottom w:val="single" w:sz="8" w:space="0" w:color="auto"/>
              <w:right w:val="single" w:sz="8" w:space="0" w:color="auto"/>
            </w:tcBorders>
            <w:noWrap/>
            <w:vAlign w:val="bottom"/>
          </w:tcPr>
          <w:p w:rsidR="0022223F" w:rsidRPr="00D5566E" w:rsidRDefault="0022223F" w:rsidP="00D5566E">
            <w:pPr>
              <w:jc w:val="right"/>
              <w:rPr>
                <w:b/>
                <w:bCs/>
                <w:color w:val="000000"/>
                <w:sz w:val="20"/>
                <w:szCs w:val="20"/>
                <w:lang w:eastAsia="en-GB"/>
              </w:rPr>
            </w:pPr>
            <w:r w:rsidRPr="00D5566E">
              <w:rPr>
                <w:b/>
                <w:bCs/>
                <w:color w:val="000000"/>
                <w:sz w:val="20"/>
                <w:szCs w:val="20"/>
                <w:lang w:eastAsia="en-GB"/>
              </w:rPr>
              <w:t>0.1%</w:t>
            </w:r>
          </w:p>
        </w:tc>
        <w:tc>
          <w:tcPr>
            <w:tcW w:w="1006" w:type="dxa"/>
            <w:tcBorders>
              <w:top w:val="nil"/>
              <w:left w:val="nil"/>
              <w:bottom w:val="single" w:sz="8" w:space="0" w:color="auto"/>
              <w:right w:val="single" w:sz="8" w:space="0" w:color="auto"/>
            </w:tcBorders>
            <w:noWrap/>
            <w:vAlign w:val="bottom"/>
          </w:tcPr>
          <w:p w:rsidR="0022223F" w:rsidRPr="00D5566E" w:rsidRDefault="0022223F" w:rsidP="00D5566E">
            <w:pPr>
              <w:jc w:val="right"/>
              <w:rPr>
                <w:b/>
                <w:bCs/>
                <w:color w:val="000000"/>
                <w:sz w:val="20"/>
                <w:szCs w:val="20"/>
                <w:lang w:eastAsia="en-GB"/>
              </w:rPr>
            </w:pPr>
            <w:r w:rsidRPr="00D5566E">
              <w:rPr>
                <w:b/>
                <w:bCs/>
                <w:color w:val="000000"/>
                <w:sz w:val="20"/>
                <w:szCs w:val="20"/>
                <w:lang w:eastAsia="en-GB"/>
              </w:rPr>
              <w:t>986</w:t>
            </w:r>
          </w:p>
        </w:tc>
      </w:tr>
      <w:tr w:rsidR="0022223F" w:rsidRPr="00D5566E">
        <w:trPr>
          <w:trHeight w:val="300"/>
        </w:trPr>
        <w:tc>
          <w:tcPr>
            <w:tcW w:w="3120" w:type="dxa"/>
            <w:tcBorders>
              <w:top w:val="nil"/>
              <w:left w:val="single" w:sz="8" w:space="0" w:color="auto"/>
              <w:bottom w:val="single" w:sz="8" w:space="0" w:color="auto"/>
              <w:right w:val="single" w:sz="8" w:space="0" w:color="auto"/>
            </w:tcBorders>
            <w:vAlign w:val="bottom"/>
          </w:tcPr>
          <w:p w:rsidR="0022223F" w:rsidRPr="00D5566E" w:rsidRDefault="0022223F" w:rsidP="00D5566E">
            <w:pPr>
              <w:jc w:val="both"/>
              <w:rPr>
                <w:color w:val="000000"/>
                <w:sz w:val="20"/>
                <w:szCs w:val="20"/>
                <w:lang w:eastAsia="en-GB"/>
              </w:rPr>
            </w:pPr>
            <w:r w:rsidRPr="00D5566E">
              <w:rPr>
                <w:color w:val="000000"/>
                <w:sz w:val="20"/>
                <w:szCs w:val="20"/>
                <w:lang w:eastAsia="en-GB"/>
              </w:rPr>
              <w:t>Corporate Items</w:t>
            </w:r>
          </w:p>
        </w:tc>
        <w:tc>
          <w:tcPr>
            <w:tcW w:w="961" w:type="dxa"/>
            <w:tcBorders>
              <w:top w:val="nil"/>
              <w:left w:val="nil"/>
              <w:bottom w:val="single" w:sz="8" w:space="0" w:color="auto"/>
              <w:right w:val="single" w:sz="8" w:space="0" w:color="auto"/>
            </w:tcBorders>
            <w:noWrap/>
            <w:vAlign w:val="bottom"/>
          </w:tcPr>
          <w:p w:rsidR="0022223F" w:rsidRPr="00D5566E" w:rsidRDefault="0022223F" w:rsidP="00D5566E">
            <w:pPr>
              <w:jc w:val="right"/>
              <w:rPr>
                <w:sz w:val="20"/>
                <w:szCs w:val="20"/>
                <w:lang w:eastAsia="en-GB"/>
              </w:rPr>
            </w:pPr>
            <w:r w:rsidRPr="00D5566E">
              <w:rPr>
                <w:sz w:val="20"/>
                <w:szCs w:val="20"/>
                <w:lang w:eastAsia="en-GB"/>
              </w:rPr>
              <w:t>(16,276)</w:t>
            </w:r>
          </w:p>
        </w:tc>
        <w:tc>
          <w:tcPr>
            <w:tcW w:w="995" w:type="dxa"/>
            <w:tcBorders>
              <w:top w:val="nil"/>
              <w:left w:val="nil"/>
              <w:bottom w:val="single" w:sz="8" w:space="0" w:color="auto"/>
              <w:right w:val="single" w:sz="8" w:space="0" w:color="auto"/>
            </w:tcBorders>
            <w:noWrap/>
            <w:vAlign w:val="bottom"/>
          </w:tcPr>
          <w:p w:rsidR="0022223F" w:rsidRPr="00D5566E" w:rsidRDefault="0022223F" w:rsidP="00D5566E">
            <w:pPr>
              <w:jc w:val="right"/>
              <w:rPr>
                <w:sz w:val="20"/>
                <w:szCs w:val="20"/>
                <w:lang w:eastAsia="en-GB"/>
              </w:rPr>
            </w:pPr>
            <w:r w:rsidRPr="00D5566E">
              <w:rPr>
                <w:sz w:val="20"/>
                <w:szCs w:val="20"/>
                <w:lang w:eastAsia="en-GB"/>
              </w:rPr>
              <w:t>(16,626)</w:t>
            </w:r>
          </w:p>
        </w:tc>
        <w:tc>
          <w:tcPr>
            <w:tcW w:w="1006" w:type="dxa"/>
            <w:tcBorders>
              <w:top w:val="nil"/>
              <w:left w:val="nil"/>
              <w:bottom w:val="single" w:sz="8" w:space="0" w:color="auto"/>
              <w:right w:val="single" w:sz="8" w:space="0" w:color="auto"/>
            </w:tcBorders>
            <w:noWrap/>
            <w:vAlign w:val="bottom"/>
          </w:tcPr>
          <w:p w:rsidR="0022223F" w:rsidRPr="00D5566E" w:rsidRDefault="0022223F" w:rsidP="00D5566E">
            <w:pPr>
              <w:jc w:val="right"/>
              <w:rPr>
                <w:color w:val="000000"/>
                <w:sz w:val="20"/>
                <w:szCs w:val="20"/>
                <w:lang w:eastAsia="en-GB"/>
              </w:rPr>
            </w:pPr>
            <w:r w:rsidRPr="00D5566E">
              <w:rPr>
                <w:color w:val="000000"/>
                <w:sz w:val="20"/>
                <w:szCs w:val="20"/>
                <w:lang w:eastAsia="en-GB"/>
              </w:rPr>
              <w:t>(350)</w:t>
            </w:r>
          </w:p>
        </w:tc>
        <w:tc>
          <w:tcPr>
            <w:tcW w:w="1006" w:type="dxa"/>
            <w:tcBorders>
              <w:top w:val="nil"/>
              <w:left w:val="nil"/>
              <w:bottom w:val="single" w:sz="8" w:space="0" w:color="auto"/>
              <w:right w:val="single" w:sz="8" w:space="0" w:color="auto"/>
            </w:tcBorders>
            <w:noWrap/>
            <w:vAlign w:val="bottom"/>
          </w:tcPr>
          <w:p w:rsidR="0022223F" w:rsidRPr="00D5566E" w:rsidRDefault="0022223F" w:rsidP="00D5566E">
            <w:pPr>
              <w:jc w:val="right"/>
              <w:rPr>
                <w:color w:val="000000"/>
                <w:sz w:val="20"/>
                <w:szCs w:val="20"/>
                <w:lang w:eastAsia="en-GB"/>
              </w:rPr>
            </w:pPr>
            <w:r w:rsidRPr="00D5566E">
              <w:rPr>
                <w:color w:val="000000"/>
                <w:sz w:val="20"/>
                <w:szCs w:val="20"/>
                <w:lang w:eastAsia="en-GB"/>
              </w:rPr>
              <w:t>2.2%</w:t>
            </w:r>
          </w:p>
        </w:tc>
        <w:tc>
          <w:tcPr>
            <w:tcW w:w="1006" w:type="dxa"/>
            <w:tcBorders>
              <w:top w:val="nil"/>
              <w:left w:val="nil"/>
              <w:bottom w:val="single" w:sz="8" w:space="0" w:color="auto"/>
              <w:right w:val="single" w:sz="8" w:space="0" w:color="auto"/>
            </w:tcBorders>
            <w:noWrap/>
            <w:vAlign w:val="bottom"/>
          </w:tcPr>
          <w:p w:rsidR="0022223F" w:rsidRPr="00D5566E" w:rsidRDefault="0022223F" w:rsidP="00D5566E">
            <w:pPr>
              <w:jc w:val="right"/>
              <w:rPr>
                <w:color w:val="000000"/>
                <w:sz w:val="20"/>
                <w:szCs w:val="20"/>
                <w:lang w:eastAsia="en-GB"/>
              </w:rPr>
            </w:pPr>
            <w:r w:rsidRPr="00D5566E">
              <w:rPr>
                <w:color w:val="000000"/>
                <w:sz w:val="20"/>
                <w:szCs w:val="20"/>
                <w:lang w:eastAsia="en-GB"/>
              </w:rPr>
              <w:t>(921)</w:t>
            </w:r>
          </w:p>
        </w:tc>
      </w:tr>
      <w:tr w:rsidR="0022223F" w:rsidRPr="00D5566E">
        <w:trPr>
          <w:trHeight w:val="300"/>
        </w:trPr>
        <w:tc>
          <w:tcPr>
            <w:tcW w:w="3120" w:type="dxa"/>
            <w:tcBorders>
              <w:top w:val="nil"/>
              <w:left w:val="single" w:sz="8" w:space="0" w:color="auto"/>
              <w:bottom w:val="single" w:sz="8" w:space="0" w:color="auto"/>
              <w:right w:val="single" w:sz="8" w:space="0" w:color="auto"/>
            </w:tcBorders>
            <w:noWrap/>
            <w:vAlign w:val="bottom"/>
          </w:tcPr>
          <w:p w:rsidR="0022223F" w:rsidRPr="00D5566E" w:rsidRDefault="0022223F" w:rsidP="00D5566E">
            <w:pPr>
              <w:rPr>
                <w:b/>
                <w:bCs/>
                <w:color w:val="000000"/>
                <w:sz w:val="20"/>
                <w:szCs w:val="20"/>
                <w:lang w:eastAsia="en-GB"/>
              </w:rPr>
            </w:pPr>
            <w:r w:rsidRPr="00D5566E">
              <w:rPr>
                <w:b/>
                <w:bCs/>
                <w:color w:val="000000"/>
                <w:sz w:val="20"/>
                <w:szCs w:val="20"/>
                <w:lang w:eastAsia="en-GB"/>
              </w:rPr>
              <w:t>Total Budget Requirement</w:t>
            </w:r>
          </w:p>
        </w:tc>
        <w:tc>
          <w:tcPr>
            <w:tcW w:w="961" w:type="dxa"/>
            <w:tcBorders>
              <w:top w:val="nil"/>
              <w:left w:val="nil"/>
              <w:bottom w:val="single" w:sz="8" w:space="0" w:color="auto"/>
              <w:right w:val="single" w:sz="8" w:space="0" w:color="auto"/>
            </w:tcBorders>
            <w:noWrap/>
            <w:vAlign w:val="bottom"/>
          </w:tcPr>
          <w:p w:rsidR="0022223F" w:rsidRPr="00D5566E" w:rsidRDefault="0022223F" w:rsidP="00D5566E">
            <w:pPr>
              <w:jc w:val="right"/>
              <w:rPr>
                <w:b/>
                <w:bCs/>
                <w:color w:val="000000"/>
                <w:sz w:val="20"/>
                <w:szCs w:val="20"/>
                <w:lang w:eastAsia="en-GB"/>
              </w:rPr>
            </w:pPr>
            <w:r w:rsidRPr="00D5566E">
              <w:rPr>
                <w:b/>
                <w:bCs/>
                <w:color w:val="000000"/>
                <w:sz w:val="20"/>
                <w:szCs w:val="20"/>
                <w:lang w:eastAsia="en-GB"/>
              </w:rPr>
              <w:t>174,426</w:t>
            </w:r>
          </w:p>
        </w:tc>
        <w:tc>
          <w:tcPr>
            <w:tcW w:w="995" w:type="dxa"/>
            <w:tcBorders>
              <w:top w:val="nil"/>
              <w:left w:val="nil"/>
              <w:bottom w:val="single" w:sz="8" w:space="0" w:color="auto"/>
              <w:right w:val="single" w:sz="8" w:space="0" w:color="auto"/>
            </w:tcBorders>
            <w:noWrap/>
            <w:vAlign w:val="bottom"/>
          </w:tcPr>
          <w:p w:rsidR="0022223F" w:rsidRPr="00D5566E" w:rsidRDefault="0022223F" w:rsidP="00D5566E">
            <w:pPr>
              <w:jc w:val="right"/>
              <w:rPr>
                <w:b/>
                <w:bCs/>
                <w:color w:val="000000"/>
                <w:sz w:val="20"/>
                <w:szCs w:val="20"/>
                <w:lang w:eastAsia="en-GB"/>
              </w:rPr>
            </w:pPr>
            <w:r w:rsidRPr="00D5566E">
              <w:rPr>
                <w:b/>
                <w:bCs/>
                <w:color w:val="000000"/>
                <w:sz w:val="20"/>
                <w:szCs w:val="20"/>
                <w:lang w:eastAsia="en-GB"/>
              </w:rPr>
              <w:t>174,338</w:t>
            </w:r>
          </w:p>
        </w:tc>
        <w:tc>
          <w:tcPr>
            <w:tcW w:w="1006" w:type="dxa"/>
            <w:tcBorders>
              <w:top w:val="nil"/>
              <w:left w:val="nil"/>
              <w:bottom w:val="single" w:sz="8" w:space="0" w:color="auto"/>
              <w:right w:val="single" w:sz="8" w:space="0" w:color="auto"/>
            </w:tcBorders>
            <w:noWrap/>
            <w:vAlign w:val="bottom"/>
          </w:tcPr>
          <w:p w:rsidR="0022223F" w:rsidRPr="00D5566E" w:rsidRDefault="0022223F" w:rsidP="00D5566E">
            <w:pPr>
              <w:jc w:val="right"/>
              <w:rPr>
                <w:b/>
                <w:bCs/>
                <w:color w:val="000000"/>
                <w:sz w:val="20"/>
                <w:szCs w:val="20"/>
                <w:lang w:eastAsia="en-GB"/>
              </w:rPr>
            </w:pPr>
            <w:r w:rsidRPr="00D5566E">
              <w:rPr>
                <w:b/>
                <w:bCs/>
                <w:color w:val="000000"/>
                <w:sz w:val="20"/>
                <w:szCs w:val="20"/>
                <w:lang w:eastAsia="en-GB"/>
              </w:rPr>
              <w:t>(88)</w:t>
            </w:r>
          </w:p>
        </w:tc>
        <w:tc>
          <w:tcPr>
            <w:tcW w:w="1006" w:type="dxa"/>
            <w:tcBorders>
              <w:top w:val="nil"/>
              <w:left w:val="nil"/>
              <w:bottom w:val="single" w:sz="8" w:space="0" w:color="auto"/>
              <w:right w:val="single" w:sz="8" w:space="0" w:color="auto"/>
            </w:tcBorders>
            <w:noWrap/>
            <w:vAlign w:val="bottom"/>
          </w:tcPr>
          <w:p w:rsidR="0022223F" w:rsidRPr="00D5566E" w:rsidRDefault="0022223F" w:rsidP="00D5566E">
            <w:pPr>
              <w:jc w:val="right"/>
              <w:rPr>
                <w:b/>
                <w:bCs/>
                <w:color w:val="000000"/>
                <w:sz w:val="20"/>
                <w:szCs w:val="20"/>
                <w:lang w:eastAsia="en-GB"/>
              </w:rPr>
            </w:pPr>
            <w:r w:rsidRPr="00D5566E">
              <w:rPr>
                <w:b/>
                <w:bCs/>
                <w:color w:val="000000"/>
                <w:sz w:val="20"/>
                <w:szCs w:val="20"/>
                <w:lang w:eastAsia="en-GB"/>
              </w:rPr>
              <w:t>-0.1%</w:t>
            </w:r>
          </w:p>
        </w:tc>
        <w:tc>
          <w:tcPr>
            <w:tcW w:w="1006" w:type="dxa"/>
            <w:tcBorders>
              <w:top w:val="nil"/>
              <w:left w:val="nil"/>
              <w:bottom w:val="single" w:sz="8" w:space="0" w:color="auto"/>
              <w:right w:val="single" w:sz="8" w:space="0" w:color="auto"/>
            </w:tcBorders>
            <w:noWrap/>
            <w:vAlign w:val="bottom"/>
          </w:tcPr>
          <w:p w:rsidR="0022223F" w:rsidRPr="00D5566E" w:rsidRDefault="0022223F" w:rsidP="00D5566E">
            <w:pPr>
              <w:jc w:val="right"/>
              <w:rPr>
                <w:b/>
                <w:bCs/>
                <w:color w:val="000000"/>
                <w:sz w:val="20"/>
                <w:szCs w:val="20"/>
                <w:lang w:eastAsia="en-GB"/>
              </w:rPr>
            </w:pPr>
            <w:r w:rsidRPr="00D5566E">
              <w:rPr>
                <w:b/>
                <w:bCs/>
                <w:color w:val="000000"/>
                <w:sz w:val="20"/>
                <w:szCs w:val="20"/>
                <w:lang w:eastAsia="en-GB"/>
              </w:rPr>
              <w:t>65</w:t>
            </w:r>
          </w:p>
        </w:tc>
      </w:tr>
      <w:tr w:rsidR="0022223F" w:rsidRPr="00D5566E">
        <w:trPr>
          <w:trHeight w:val="110"/>
        </w:trPr>
        <w:tc>
          <w:tcPr>
            <w:tcW w:w="3120" w:type="dxa"/>
            <w:tcBorders>
              <w:top w:val="single" w:sz="8" w:space="0" w:color="auto"/>
              <w:left w:val="single" w:sz="8" w:space="0" w:color="auto"/>
              <w:bottom w:val="single" w:sz="8" w:space="0" w:color="auto"/>
              <w:right w:val="single" w:sz="8" w:space="0" w:color="auto"/>
            </w:tcBorders>
            <w:noWrap/>
            <w:vAlign w:val="bottom"/>
          </w:tcPr>
          <w:p w:rsidR="0022223F" w:rsidRPr="00D5566E" w:rsidRDefault="0022223F" w:rsidP="00D5566E">
            <w:pPr>
              <w:rPr>
                <w:b/>
                <w:bCs/>
                <w:color w:val="000000"/>
                <w:sz w:val="20"/>
                <w:szCs w:val="20"/>
                <w:lang w:eastAsia="en-GB"/>
              </w:rPr>
            </w:pPr>
          </w:p>
        </w:tc>
        <w:tc>
          <w:tcPr>
            <w:tcW w:w="961" w:type="dxa"/>
            <w:tcBorders>
              <w:top w:val="single" w:sz="8" w:space="0" w:color="auto"/>
              <w:left w:val="nil"/>
              <w:bottom w:val="single" w:sz="8" w:space="0" w:color="auto"/>
              <w:right w:val="single" w:sz="8" w:space="0" w:color="auto"/>
            </w:tcBorders>
            <w:noWrap/>
            <w:vAlign w:val="bottom"/>
          </w:tcPr>
          <w:p w:rsidR="0022223F" w:rsidRPr="00D5566E" w:rsidRDefault="0022223F" w:rsidP="00D5566E">
            <w:pPr>
              <w:jc w:val="right"/>
              <w:rPr>
                <w:b/>
                <w:bCs/>
                <w:color w:val="000000"/>
                <w:sz w:val="20"/>
                <w:szCs w:val="20"/>
                <w:lang w:eastAsia="en-GB"/>
              </w:rPr>
            </w:pPr>
          </w:p>
        </w:tc>
        <w:tc>
          <w:tcPr>
            <w:tcW w:w="995" w:type="dxa"/>
            <w:tcBorders>
              <w:top w:val="single" w:sz="8" w:space="0" w:color="auto"/>
              <w:left w:val="nil"/>
              <w:bottom w:val="single" w:sz="8" w:space="0" w:color="auto"/>
              <w:right w:val="single" w:sz="8" w:space="0" w:color="auto"/>
            </w:tcBorders>
            <w:noWrap/>
            <w:vAlign w:val="bottom"/>
          </w:tcPr>
          <w:p w:rsidR="0022223F" w:rsidRPr="00D5566E" w:rsidRDefault="0022223F" w:rsidP="00D5566E">
            <w:pPr>
              <w:jc w:val="right"/>
              <w:rPr>
                <w:b/>
                <w:bCs/>
                <w:color w:val="000000"/>
                <w:sz w:val="20"/>
                <w:szCs w:val="20"/>
                <w:lang w:eastAsia="en-GB"/>
              </w:rPr>
            </w:pPr>
          </w:p>
        </w:tc>
        <w:tc>
          <w:tcPr>
            <w:tcW w:w="1006" w:type="dxa"/>
            <w:tcBorders>
              <w:top w:val="single" w:sz="8" w:space="0" w:color="auto"/>
              <w:left w:val="nil"/>
              <w:bottom w:val="single" w:sz="8" w:space="0" w:color="auto"/>
              <w:right w:val="single" w:sz="8" w:space="0" w:color="auto"/>
            </w:tcBorders>
            <w:noWrap/>
            <w:vAlign w:val="bottom"/>
          </w:tcPr>
          <w:p w:rsidR="0022223F" w:rsidRPr="00D5566E" w:rsidRDefault="0022223F" w:rsidP="00D5566E">
            <w:pPr>
              <w:jc w:val="right"/>
              <w:rPr>
                <w:b/>
                <w:bCs/>
                <w:color w:val="000000"/>
                <w:sz w:val="20"/>
                <w:szCs w:val="20"/>
                <w:lang w:eastAsia="en-GB"/>
              </w:rPr>
            </w:pPr>
          </w:p>
        </w:tc>
        <w:tc>
          <w:tcPr>
            <w:tcW w:w="1006" w:type="dxa"/>
            <w:tcBorders>
              <w:top w:val="single" w:sz="8" w:space="0" w:color="auto"/>
              <w:left w:val="nil"/>
              <w:bottom w:val="single" w:sz="8" w:space="0" w:color="auto"/>
              <w:right w:val="single" w:sz="8" w:space="0" w:color="auto"/>
            </w:tcBorders>
            <w:noWrap/>
            <w:vAlign w:val="bottom"/>
          </w:tcPr>
          <w:p w:rsidR="0022223F" w:rsidRPr="00D5566E" w:rsidRDefault="0022223F" w:rsidP="00D5566E">
            <w:pPr>
              <w:jc w:val="right"/>
              <w:rPr>
                <w:b/>
                <w:bCs/>
                <w:color w:val="000000"/>
                <w:sz w:val="20"/>
                <w:szCs w:val="20"/>
                <w:lang w:eastAsia="en-GB"/>
              </w:rPr>
            </w:pPr>
          </w:p>
        </w:tc>
        <w:tc>
          <w:tcPr>
            <w:tcW w:w="1006" w:type="dxa"/>
            <w:tcBorders>
              <w:top w:val="single" w:sz="8" w:space="0" w:color="auto"/>
              <w:left w:val="nil"/>
              <w:bottom w:val="single" w:sz="8" w:space="0" w:color="auto"/>
              <w:right w:val="single" w:sz="8" w:space="0" w:color="auto"/>
            </w:tcBorders>
            <w:noWrap/>
            <w:vAlign w:val="bottom"/>
          </w:tcPr>
          <w:p w:rsidR="0022223F" w:rsidRPr="00D5566E" w:rsidRDefault="0022223F" w:rsidP="00D5566E">
            <w:pPr>
              <w:jc w:val="right"/>
              <w:rPr>
                <w:b/>
                <w:bCs/>
                <w:color w:val="000000"/>
                <w:sz w:val="20"/>
                <w:szCs w:val="20"/>
                <w:lang w:eastAsia="en-GB"/>
              </w:rPr>
            </w:pPr>
          </w:p>
        </w:tc>
      </w:tr>
      <w:tr w:rsidR="0022223F" w:rsidRPr="00D5566E">
        <w:trPr>
          <w:trHeight w:val="300"/>
        </w:trPr>
        <w:tc>
          <w:tcPr>
            <w:tcW w:w="3120" w:type="dxa"/>
            <w:tcBorders>
              <w:top w:val="single" w:sz="8" w:space="0" w:color="auto"/>
              <w:left w:val="single" w:sz="8" w:space="0" w:color="auto"/>
              <w:bottom w:val="single" w:sz="8" w:space="0" w:color="auto"/>
              <w:right w:val="single" w:sz="8" w:space="0" w:color="auto"/>
            </w:tcBorders>
            <w:noWrap/>
            <w:vAlign w:val="bottom"/>
          </w:tcPr>
          <w:p w:rsidR="0022223F" w:rsidRPr="00D5566E" w:rsidRDefault="0022223F" w:rsidP="00D5566E">
            <w:pPr>
              <w:rPr>
                <w:b/>
                <w:bCs/>
                <w:color w:val="000000"/>
                <w:sz w:val="20"/>
                <w:szCs w:val="20"/>
                <w:lang w:eastAsia="en-GB"/>
              </w:rPr>
            </w:pPr>
            <w:r>
              <w:rPr>
                <w:b/>
                <w:bCs/>
                <w:color w:val="000000"/>
                <w:sz w:val="20"/>
                <w:szCs w:val="20"/>
                <w:lang w:eastAsia="en-GB"/>
              </w:rPr>
              <w:t>HRA</w:t>
            </w:r>
          </w:p>
        </w:tc>
        <w:tc>
          <w:tcPr>
            <w:tcW w:w="961" w:type="dxa"/>
            <w:tcBorders>
              <w:top w:val="single" w:sz="8" w:space="0" w:color="auto"/>
              <w:left w:val="nil"/>
              <w:bottom w:val="single" w:sz="8" w:space="0" w:color="auto"/>
              <w:right w:val="single" w:sz="8" w:space="0" w:color="auto"/>
            </w:tcBorders>
            <w:noWrap/>
            <w:vAlign w:val="bottom"/>
          </w:tcPr>
          <w:p w:rsidR="0022223F" w:rsidRPr="00D5566E" w:rsidRDefault="0022223F" w:rsidP="00D5566E">
            <w:pPr>
              <w:jc w:val="right"/>
              <w:rPr>
                <w:b/>
                <w:bCs/>
                <w:color w:val="000000"/>
                <w:sz w:val="20"/>
                <w:szCs w:val="20"/>
                <w:lang w:eastAsia="en-GB"/>
              </w:rPr>
            </w:pPr>
            <w:r>
              <w:rPr>
                <w:b/>
                <w:bCs/>
                <w:color w:val="000000"/>
                <w:sz w:val="20"/>
                <w:szCs w:val="20"/>
                <w:lang w:eastAsia="en-GB"/>
              </w:rPr>
              <w:t>-905</w:t>
            </w:r>
          </w:p>
        </w:tc>
        <w:tc>
          <w:tcPr>
            <w:tcW w:w="995" w:type="dxa"/>
            <w:tcBorders>
              <w:top w:val="single" w:sz="8" w:space="0" w:color="auto"/>
              <w:left w:val="nil"/>
              <w:bottom w:val="single" w:sz="8" w:space="0" w:color="auto"/>
              <w:right w:val="single" w:sz="8" w:space="0" w:color="auto"/>
            </w:tcBorders>
            <w:noWrap/>
            <w:vAlign w:val="bottom"/>
          </w:tcPr>
          <w:p w:rsidR="0022223F" w:rsidRPr="00D5566E" w:rsidRDefault="0022223F" w:rsidP="007A3C73">
            <w:pPr>
              <w:jc w:val="right"/>
              <w:rPr>
                <w:b/>
                <w:bCs/>
                <w:color w:val="000000"/>
                <w:sz w:val="20"/>
                <w:szCs w:val="20"/>
                <w:lang w:eastAsia="en-GB"/>
              </w:rPr>
            </w:pPr>
            <w:r>
              <w:rPr>
                <w:b/>
                <w:bCs/>
                <w:color w:val="000000"/>
                <w:sz w:val="20"/>
                <w:szCs w:val="20"/>
                <w:lang w:eastAsia="en-GB"/>
              </w:rPr>
              <w:t>-637</w:t>
            </w:r>
          </w:p>
        </w:tc>
        <w:tc>
          <w:tcPr>
            <w:tcW w:w="1006" w:type="dxa"/>
            <w:tcBorders>
              <w:top w:val="single" w:sz="8" w:space="0" w:color="auto"/>
              <w:left w:val="nil"/>
              <w:bottom w:val="single" w:sz="8" w:space="0" w:color="auto"/>
              <w:right w:val="single" w:sz="8" w:space="0" w:color="auto"/>
            </w:tcBorders>
            <w:noWrap/>
            <w:vAlign w:val="bottom"/>
          </w:tcPr>
          <w:p w:rsidR="0022223F" w:rsidRPr="00D5566E" w:rsidRDefault="0022223F" w:rsidP="00D5566E">
            <w:pPr>
              <w:jc w:val="right"/>
              <w:rPr>
                <w:b/>
                <w:bCs/>
                <w:color w:val="000000"/>
                <w:sz w:val="20"/>
                <w:szCs w:val="20"/>
                <w:lang w:eastAsia="en-GB"/>
              </w:rPr>
            </w:pPr>
            <w:r>
              <w:rPr>
                <w:b/>
                <w:bCs/>
                <w:color w:val="000000"/>
                <w:sz w:val="20"/>
                <w:szCs w:val="20"/>
                <w:lang w:eastAsia="en-GB"/>
              </w:rPr>
              <w:t>268</w:t>
            </w:r>
          </w:p>
        </w:tc>
        <w:tc>
          <w:tcPr>
            <w:tcW w:w="1006" w:type="dxa"/>
            <w:tcBorders>
              <w:top w:val="single" w:sz="8" w:space="0" w:color="auto"/>
              <w:left w:val="nil"/>
              <w:bottom w:val="single" w:sz="8" w:space="0" w:color="auto"/>
              <w:right w:val="single" w:sz="8" w:space="0" w:color="auto"/>
            </w:tcBorders>
            <w:noWrap/>
            <w:vAlign w:val="bottom"/>
          </w:tcPr>
          <w:p w:rsidR="0022223F" w:rsidRPr="00D5566E" w:rsidRDefault="0022223F" w:rsidP="00D5566E">
            <w:pPr>
              <w:jc w:val="right"/>
              <w:rPr>
                <w:b/>
                <w:bCs/>
                <w:color w:val="000000"/>
                <w:sz w:val="20"/>
                <w:szCs w:val="20"/>
                <w:lang w:eastAsia="en-GB"/>
              </w:rPr>
            </w:pPr>
          </w:p>
        </w:tc>
        <w:tc>
          <w:tcPr>
            <w:tcW w:w="1006" w:type="dxa"/>
            <w:tcBorders>
              <w:top w:val="single" w:sz="8" w:space="0" w:color="auto"/>
              <w:left w:val="nil"/>
              <w:bottom w:val="single" w:sz="8" w:space="0" w:color="auto"/>
              <w:right w:val="single" w:sz="8" w:space="0" w:color="auto"/>
            </w:tcBorders>
            <w:noWrap/>
            <w:vAlign w:val="bottom"/>
          </w:tcPr>
          <w:p w:rsidR="0022223F" w:rsidRPr="00D5566E" w:rsidRDefault="0022223F" w:rsidP="00D5566E">
            <w:pPr>
              <w:jc w:val="right"/>
              <w:rPr>
                <w:b/>
                <w:bCs/>
                <w:color w:val="000000"/>
                <w:sz w:val="20"/>
                <w:szCs w:val="20"/>
                <w:lang w:eastAsia="en-GB"/>
              </w:rPr>
            </w:pPr>
            <w:r>
              <w:rPr>
                <w:b/>
                <w:bCs/>
                <w:color w:val="000000"/>
                <w:sz w:val="20"/>
                <w:szCs w:val="20"/>
                <w:lang w:eastAsia="en-GB"/>
              </w:rPr>
              <w:t>396</w:t>
            </w:r>
          </w:p>
        </w:tc>
      </w:tr>
    </w:tbl>
    <w:p w:rsidR="0022223F" w:rsidRDefault="0022223F" w:rsidP="009862B0"/>
    <w:p w:rsidR="0022223F" w:rsidRDefault="0022223F" w:rsidP="009862B0"/>
    <w:p w:rsidR="0022223F" w:rsidRPr="004F6A92" w:rsidRDefault="0022223F" w:rsidP="004F6A92">
      <w:pPr>
        <w:keepNext/>
        <w:outlineLvl w:val="1"/>
        <w:rPr>
          <w:b/>
          <w:bCs/>
          <w:kern w:val="32"/>
          <w:u w:val="single"/>
        </w:rPr>
      </w:pPr>
      <w:r w:rsidRPr="004F6A92">
        <w:rPr>
          <w:b/>
          <w:bCs/>
          <w:kern w:val="32"/>
          <w:u w:val="single"/>
        </w:rPr>
        <w:t>RESOURCES</w:t>
      </w:r>
    </w:p>
    <w:p w:rsidR="0022223F" w:rsidRPr="004F6A92" w:rsidRDefault="0022223F" w:rsidP="004F6A92">
      <w:pPr>
        <w:keepNext/>
        <w:outlineLvl w:val="1"/>
      </w:pPr>
    </w:p>
    <w:p w:rsidR="0022223F" w:rsidRPr="00E30FF7" w:rsidRDefault="0022223F" w:rsidP="00306458">
      <w:pPr>
        <w:pStyle w:val="ListParagraph"/>
        <w:keepNext/>
        <w:numPr>
          <w:ilvl w:val="0"/>
          <w:numId w:val="42"/>
        </w:numPr>
        <w:ind w:hanging="720"/>
        <w:jc w:val="both"/>
      </w:pPr>
      <w:bookmarkStart w:id="1" w:name="_Toc372706214"/>
      <w:r w:rsidRPr="00E30FF7">
        <w:t>At Quarter 2 an under spend of £530k is forecast, an increase of £153k from Quarter 1. The increase is largely due to a reduction in the expected payment to Capita (172k).The key reasons for the variance of £530k atQuarter 2are</w:t>
      </w:r>
      <w:r>
        <w:t>:</w:t>
      </w:r>
    </w:p>
    <w:p w:rsidR="0022223F" w:rsidRDefault="0022223F" w:rsidP="00306458">
      <w:pPr>
        <w:pStyle w:val="ListParagraph"/>
        <w:keepNext/>
        <w:jc w:val="both"/>
      </w:pPr>
    </w:p>
    <w:p w:rsidR="0022223F" w:rsidRPr="00E30FF7" w:rsidRDefault="0022223F" w:rsidP="00306458">
      <w:pPr>
        <w:ind w:firstLine="720"/>
        <w:jc w:val="both"/>
      </w:pPr>
      <w:r w:rsidRPr="00E30FF7">
        <w:rPr>
          <w:b/>
          <w:bCs/>
        </w:rPr>
        <w:t xml:space="preserve">Customer </w:t>
      </w:r>
      <w:r>
        <w:rPr>
          <w:b/>
          <w:bCs/>
        </w:rPr>
        <w:t>S</w:t>
      </w:r>
      <w:r w:rsidRPr="00E30FF7">
        <w:rPr>
          <w:b/>
          <w:bCs/>
        </w:rPr>
        <w:t>ervice</w:t>
      </w:r>
      <w:r>
        <w:rPr>
          <w:b/>
          <w:bCs/>
        </w:rPr>
        <w:t>s</w:t>
      </w:r>
      <w:r>
        <w:t xml:space="preserve"> – A forecast underspend of </w:t>
      </w:r>
      <w:r w:rsidRPr="00E30FF7">
        <w:t>£361k</w:t>
      </w:r>
      <w:r>
        <w:t>which is due to:</w:t>
      </w:r>
    </w:p>
    <w:p w:rsidR="0022223F" w:rsidRPr="004F6A92" w:rsidRDefault="0022223F" w:rsidP="00306458">
      <w:pPr>
        <w:numPr>
          <w:ilvl w:val="1"/>
          <w:numId w:val="21"/>
        </w:numPr>
        <w:tabs>
          <w:tab w:val="num" w:pos="1636"/>
        </w:tabs>
        <w:ind w:left="1636"/>
        <w:jc w:val="both"/>
      </w:pPr>
      <w:r w:rsidRPr="004F6A92">
        <w:t xml:space="preserve">Additional grant compared to budget from DCLG for S31 </w:t>
      </w:r>
      <w:r>
        <w:t xml:space="preserve">to compensate for Business Rate Reliefs granted </w:t>
      </w:r>
      <w:r w:rsidRPr="004F6A92">
        <w:t>(£390k)</w:t>
      </w:r>
    </w:p>
    <w:p w:rsidR="0022223F" w:rsidRPr="004F6A92" w:rsidRDefault="0022223F" w:rsidP="00306458">
      <w:pPr>
        <w:numPr>
          <w:ilvl w:val="1"/>
          <w:numId w:val="21"/>
        </w:numPr>
        <w:tabs>
          <w:tab w:val="num" w:pos="1636"/>
        </w:tabs>
        <w:ind w:left="1636"/>
        <w:jc w:val="both"/>
      </w:pPr>
      <w:r>
        <w:t xml:space="preserve">Reduction in the take up of </w:t>
      </w:r>
      <w:r w:rsidRPr="004F6A92">
        <w:t xml:space="preserve">Harrow </w:t>
      </w:r>
      <w:r>
        <w:t>H</w:t>
      </w:r>
      <w:r w:rsidRPr="004F6A92">
        <w:t xml:space="preserve">elp </w:t>
      </w:r>
      <w:r>
        <w:t>S</w:t>
      </w:r>
      <w:r w:rsidRPr="004F6A92">
        <w:t>cheme  (£89k)</w:t>
      </w:r>
    </w:p>
    <w:p w:rsidR="0022223F" w:rsidRPr="004F6A92" w:rsidRDefault="0022223F" w:rsidP="00306458">
      <w:pPr>
        <w:numPr>
          <w:ilvl w:val="1"/>
          <w:numId w:val="21"/>
        </w:numPr>
        <w:tabs>
          <w:tab w:val="num" w:pos="1636"/>
        </w:tabs>
        <w:ind w:left="1636"/>
        <w:jc w:val="both"/>
      </w:pPr>
      <w:r w:rsidRPr="004F6A92">
        <w:t>Saving</w:t>
      </w:r>
      <w:r>
        <w:t xml:space="preserve">s from </w:t>
      </w:r>
      <w:r w:rsidRPr="004F6A92">
        <w:t>restructure of the P</w:t>
      </w:r>
      <w:r>
        <w:t xml:space="preserve">roject </w:t>
      </w:r>
      <w:r w:rsidRPr="004F6A92">
        <w:t>M</w:t>
      </w:r>
      <w:r>
        <w:t xml:space="preserve">anagement </w:t>
      </w:r>
      <w:r w:rsidRPr="004F6A92">
        <w:t>O</w:t>
      </w:r>
      <w:r>
        <w:t xml:space="preserve">ffice </w:t>
      </w:r>
      <w:r w:rsidRPr="004F6A92">
        <w:t>and B</w:t>
      </w:r>
      <w:r>
        <w:t xml:space="preserve">usiness </w:t>
      </w:r>
      <w:r w:rsidRPr="004F6A92">
        <w:t>T</w:t>
      </w:r>
      <w:r>
        <w:t xml:space="preserve">ransformation </w:t>
      </w:r>
      <w:r w:rsidRPr="004F6A92">
        <w:t>P</w:t>
      </w:r>
      <w:r>
        <w:t>rogramme</w:t>
      </w:r>
      <w:r w:rsidRPr="004F6A92">
        <w:t xml:space="preserve"> client team (£44k). </w:t>
      </w:r>
    </w:p>
    <w:p w:rsidR="0022223F" w:rsidRPr="004F6A92" w:rsidRDefault="0022223F" w:rsidP="00306458">
      <w:pPr>
        <w:numPr>
          <w:ilvl w:val="1"/>
          <w:numId w:val="21"/>
        </w:numPr>
        <w:tabs>
          <w:tab w:val="num" w:pos="1636"/>
        </w:tabs>
        <w:ind w:left="1636"/>
        <w:jc w:val="both"/>
      </w:pPr>
      <w:r>
        <w:t>Additional income</w:t>
      </w:r>
      <w:r w:rsidRPr="004F6A92">
        <w:t xml:space="preserve"> from extra business and reducti</w:t>
      </w:r>
      <w:r>
        <w:t>on in expected spend on Harrow helpline kit</w:t>
      </w:r>
      <w:r w:rsidRPr="004F6A92">
        <w:t>(£77k)</w:t>
      </w:r>
    </w:p>
    <w:p w:rsidR="0022223F" w:rsidRPr="004F6A92" w:rsidRDefault="0022223F" w:rsidP="00306458">
      <w:pPr>
        <w:numPr>
          <w:ilvl w:val="1"/>
          <w:numId w:val="21"/>
        </w:numPr>
        <w:tabs>
          <w:tab w:val="num" w:pos="1636"/>
        </w:tabs>
        <w:ind w:left="1636"/>
        <w:jc w:val="both"/>
      </w:pPr>
      <w:r w:rsidRPr="004F6A92">
        <w:t>Review of Harrow Helpline  and the WEB team income (£187k)</w:t>
      </w:r>
    </w:p>
    <w:p w:rsidR="0022223F" w:rsidRPr="004F6A92" w:rsidRDefault="0022223F" w:rsidP="00306458">
      <w:pPr>
        <w:numPr>
          <w:ilvl w:val="1"/>
          <w:numId w:val="21"/>
        </w:numPr>
        <w:tabs>
          <w:tab w:val="num" w:pos="1636"/>
        </w:tabs>
        <w:ind w:left="1636"/>
        <w:jc w:val="both"/>
      </w:pPr>
      <w:r w:rsidRPr="004F6A92">
        <w:t>Saving</w:t>
      </w:r>
      <w:r>
        <w:t>s</w:t>
      </w:r>
      <w:r w:rsidRPr="004F6A92">
        <w:t xml:space="preserve"> from the new printing contract (£87k)</w:t>
      </w:r>
    </w:p>
    <w:p w:rsidR="0022223F" w:rsidRPr="004F6A92" w:rsidRDefault="0022223F" w:rsidP="00306458">
      <w:pPr>
        <w:numPr>
          <w:ilvl w:val="1"/>
          <w:numId w:val="21"/>
        </w:numPr>
        <w:tabs>
          <w:tab w:val="num" w:pos="1636"/>
        </w:tabs>
        <w:ind w:left="1636"/>
        <w:jc w:val="both"/>
      </w:pPr>
      <w:r w:rsidRPr="004F6A92">
        <w:t xml:space="preserve">Review of </w:t>
      </w:r>
      <w:r>
        <w:t xml:space="preserve">expected </w:t>
      </w:r>
      <w:r w:rsidRPr="004F6A92">
        <w:t>service credit and D</w:t>
      </w:r>
      <w:r>
        <w:t xml:space="preserve">ata </w:t>
      </w:r>
      <w:r w:rsidRPr="004F6A92">
        <w:t>C</w:t>
      </w:r>
      <w:r>
        <w:t xml:space="preserve">entre </w:t>
      </w:r>
      <w:r w:rsidRPr="004F6A92">
        <w:t>M</w:t>
      </w:r>
      <w:r>
        <w:t>igration credit form Capita.</w:t>
      </w:r>
      <w:r w:rsidRPr="004F6A92">
        <w:t>(£178k)</w:t>
      </w:r>
    </w:p>
    <w:p w:rsidR="0022223F" w:rsidRPr="004F6A92" w:rsidRDefault="0022223F" w:rsidP="00306458">
      <w:pPr>
        <w:numPr>
          <w:ilvl w:val="1"/>
          <w:numId w:val="21"/>
        </w:numPr>
        <w:tabs>
          <w:tab w:val="num" w:pos="1636"/>
        </w:tabs>
        <w:ind w:left="1636"/>
        <w:jc w:val="both"/>
      </w:pPr>
      <w:r w:rsidRPr="004F6A92">
        <w:t xml:space="preserve">Additional IT service recharge </w:t>
      </w:r>
      <w:r>
        <w:t xml:space="preserve">other service area </w:t>
      </w:r>
      <w:r w:rsidRPr="004F6A92">
        <w:t xml:space="preserve">(58k) </w:t>
      </w:r>
    </w:p>
    <w:p w:rsidR="0022223F" w:rsidRPr="004F6A92" w:rsidRDefault="0022223F" w:rsidP="00306458">
      <w:pPr>
        <w:jc w:val="both"/>
      </w:pPr>
    </w:p>
    <w:p w:rsidR="0022223F" w:rsidRPr="004F6A92" w:rsidRDefault="0022223F" w:rsidP="00306458">
      <w:pPr>
        <w:ind w:firstLine="720"/>
        <w:jc w:val="both"/>
      </w:pPr>
      <w:r w:rsidRPr="004F6A92">
        <w:t xml:space="preserve">The </w:t>
      </w:r>
      <w:r>
        <w:t>u</w:t>
      </w:r>
      <w:r w:rsidRPr="004F6A92">
        <w:t>nderspend</w:t>
      </w:r>
      <w:r>
        <w:t>s are</w:t>
      </w:r>
      <w:r w:rsidRPr="004F6A92">
        <w:t xml:space="preserve">partially offset by </w:t>
      </w:r>
      <w:r>
        <w:t>the following overspends:</w:t>
      </w:r>
    </w:p>
    <w:p w:rsidR="0022223F" w:rsidRPr="004F6A92" w:rsidRDefault="0022223F" w:rsidP="00306458">
      <w:pPr>
        <w:numPr>
          <w:ilvl w:val="0"/>
          <w:numId w:val="22"/>
        </w:numPr>
        <w:jc w:val="both"/>
      </w:pPr>
      <w:r w:rsidRPr="004F6A92">
        <w:t xml:space="preserve">Telephony costs (£148), </w:t>
      </w:r>
    </w:p>
    <w:p w:rsidR="0022223F" w:rsidRPr="004F6A92" w:rsidRDefault="0022223F" w:rsidP="00306458">
      <w:pPr>
        <w:numPr>
          <w:ilvl w:val="0"/>
          <w:numId w:val="22"/>
        </w:numPr>
        <w:jc w:val="both"/>
      </w:pPr>
      <w:r w:rsidRPr="004F6A92">
        <w:t>IT improvements (£300k)</w:t>
      </w:r>
    </w:p>
    <w:p w:rsidR="0022223F" w:rsidRPr="004F6A92" w:rsidRDefault="0022223F" w:rsidP="00306458">
      <w:pPr>
        <w:numPr>
          <w:ilvl w:val="0"/>
          <w:numId w:val="22"/>
        </w:numPr>
        <w:jc w:val="both"/>
      </w:pPr>
      <w:r w:rsidRPr="004F6A92">
        <w:t>Loss of Harrow Helpline income from Brent (£120k)</w:t>
      </w:r>
    </w:p>
    <w:p w:rsidR="0022223F" w:rsidRPr="004F6A92" w:rsidRDefault="0022223F" w:rsidP="00306458">
      <w:pPr>
        <w:numPr>
          <w:ilvl w:val="0"/>
          <w:numId w:val="22"/>
        </w:numPr>
        <w:jc w:val="both"/>
      </w:pPr>
      <w:r w:rsidRPr="004F6A92">
        <w:t>Additional cost for CTS consultation (£100k)</w:t>
      </w:r>
    </w:p>
    <w:p w:rsidR="0022223F" w:rsidRPr="004F6A92" w:rsidRDefault="0022223F" w:rsidP="00306458">
      <w:pPr>
        <w:numPr>
          <w:ilvl w:val="0"/>
          <w:numId w:val="22"/>
        </w:numPr>
        <w:jc w:val="both"/>
      </w:pPr>
      <w:r w:rsidRPr="004F6A92">
        <w:t>Reduction in expected claim from sec 31 grant (£88k)</w:t>
      </w:r>
    </w:p>
    <w:p w:rsidR="0022223F" w:rsidRPr="004F6A92" w:rsidRDefault="0022223F" w:rsidP="00306458">
      <w:pPr>
        <w:jc w:val="both"/>
        <w:rPr>
          <w:highlight w:val="yellow"/>
        </w:rPr>
      </w:pPr>
    </w:p>
    <w:p w:rsidR="0022223F" w:rsidRPr="00C7028D" w:rsidRDefault="0022223F" w:rsidP="00306458">
      <w:pPr>
        <w:pStyle w:val="ListParagraph"/>
        <w:jc w:val="both"/>
      </w:pPr>
      <w:r w:rsidRPr="00C6091A">
        <w:rPr>
          <w:b/>
          <w:bCs/>
        </w:rPr>
        <w:t>HRD &amp; Shared Services</w:t>
      </w:r>
      <w:r>
        <w:t xml:space="preserve">is forecasting an underspend of £133k due to : </w:t>
      </w:r>
    </w:p>
    <w:p w:rsidR="0022223F" w:rsidRPr="004F6A92" w:rsidRDefault="0022223F" w:rsidP="00306458">
      <w:pPr>
        <w:numPr>
          <w:ilvl w:val="0"/>
          <w:numId w:val="23"/>
        </w:numPr>
        <w:jc w:val="both"/>
      </w:pPr>
      <w:r w:rsidRPr="004F6A92">
        <w:tab/>
        <w:t>Vacancy management and reduction in operational costs(£222k)</w:t>
      </w:r>
    </w:p>
    <w:p w:rsidR="0022223F" w:rsidRDefault="0022223F" w:rsidP="00306458">
      <w:pPr>
        <w:jc w:val="both"/>
      </w:pPr>
    </w:p>
    <w:p w:rsidR="0022223F" w:rsidRPr="004F6A92" w:rsidRDefault="0022223F" w:rsidP="00306458">
      <w:pPr>
        <w:ind w:left="720"/>
        <w:jc w:val="both"/>
      </w:pPr>
      <w:r>
        <w:t>The under spends are partially offset by the following pressures:</w:t>
      </w:r>
    </w:p>
    <w:p w:rsidR="0022223F" w:rsidRPr="004F6A92" w:rsidRDefault="0022223F" w:rsidP="00306458">
      <w:pPr>
        <w:numPr>
          <w:ilvl w:val="0"/>
          <w:numId w:val="23"/>
        </w:numPr>
        <w:jc w:val="both"/>
      </w:pPr>
      <w:r w:rsidRPr="004F6A92">
        <w:t>Accreditation of stepping up to leadership programme by Institute of leadership and management(£13k)</w:t>
      </w:r>
    </w:p>
    <w:p w:rsidR="0022223F" w:rsidRPr="004F6A92" w:rsidRDefault="0022223F" w:rsidP="00306458">
      <w:pPr>
        <w:numPr>
          <w:ilvl w:val="0"/>
          <w:numId w:val="23"/>
        </w:numPr>
        <w:jc w:val="both"/>
      </w:pPr>
      <w:r w:rsidRPr="004F6A92">
        <w:t xml:space="preserve">Contract commitment to cover cost if volumes on recruitment contract are less than predicted (£59k) </w:t>
      </w:r>
    </w:p>
    <w:p w:rsidR="0022223F" w:rsidRPr="004F6A92" w:rsidRDefault="0022223F" w:rsidP="00306458">
      <w:pPr>
        <w:numPr>
          <w:ilvl w:val="0"/>
          <w:numId w:val="23"/>
        </w:numPr>
        <w:jc w:val="both"/>
      </w:pPr>
      <w:r w:rsidRPr="004F6A92">
        <w:t>Training and development cost (£17k).</w:t>
      </w:r>
    </w:p>
    <w:p w:rsidR="0022223F" w:rsidRPr="004F6A92" w:rsidRDefault="0022223F" w:rsidP="00306458">
      <w:pPr>
        <w:jc w:val="both"/>
      </w:pPr>
    </w:p>
    <w:p w:rsidR="0022223F" w:rsidRPr="004F6A92" w:rsidRDefault="0022223F" w:rsidP="00306458">
      <w:pPr>
        <w:ind w:left="720"/>
        <w:jc w:val="both"/>
      </w:pPr>
      <w:r>
        <w:t xml:space="preserve">Also in Resources, </w:t>
      </w:r>
      <w:r w:rsidRPr="00E30FF7">
        <w:rPr>
          <w:b/>
          <w:bCs/>
        </w:rPr>
        <w:t>Finance and Assurance</w:t>
      </w:r>
      <w:r>
        <w:t xml:space="preserve"> are reporting an underspend of £34k due to a reduction in audit commission fees. </w:t>
      </w:r>
    </w:p>
    <w:p w:rsidR="0022223F" w:rsidRPr="004F6A92" w:rsidRDefault="0022223F" w:rsidP="004F6A92">
      <w:pPr>
        <w:keepNext/>
        <w:outlineLvl w:val="1"/>
        <w:rPr>
          <w:b/>
          <w:bCs/>
          <w:kern w:val="32"/>
          <w:u w:val="single"/>
        </w:rPr>
      </w:pPr>
    </w:p>
    <w:p w:rsidR="0022223F" w:rsidRPr="004F6A92" w:rsidRDefault="0022223F" w:rsidP="004F6A92">
      <w:pPr>
        <w:keepNext/>
        <w:outlineLvl w:val="1"/>
        <w:rPr>
          <w:b/>
          <w:bCs/>
          <w:kern w:val="32"/>
          <w:u w:val="single"/>
        </w:rPr>
      </w:pPr>
      <w:r w:rsidRPr="004F6A92">
        <w:rPr>
          <w:b/>
          <w:bCs/>
          <w:kern w:val="32"/>
          <w:u w:val="single"/>
        </w:rPr>
        <w:t>ENVIRONMENT AND ENTERPRISE</w:t>
      </w:r>
      <w:bookmarkEnd w:id="1"/>
    </w:p>
    <w:p w:rsidR="0022223F" w:rsidRPr="004F6A92" w:rsidRDefault="0022223F" w:rsidP="004F6A92"/>
    <w:p w:rsidR="0022223F" w:rsidRPr="001F44D7" w:rsidRDefault="0022223F" w:rsidP="00DA79AC">
      <w:pPr>
        <w:pStyle w:val="ListParagraph"/>
        <w:numPr>
          <w:ilvl w:val="0"/>
          <w:numId w:val="42"/>
        </w:numPr>
        <w:ind w:hanging="720"/>
        <w:jc w:val="both"/>
        <w:rPr>
          <w:b/>
          <w:bCs/>
        </w:rPr>
      </w:pPr>
      <w:r>
        <w:t xml:space="preserve">At Quarter 2, Environment &amp; Enterprise are reporting an under spend of £481k over the total net controllable budget of £23.9m, an improvement of £481k on the balanced position reported at Quarter 1.  </w:t>
      </w:r>
      <w:r w:rsidRPr="001F44D7">
        <w:t>This includes an under spend of £45k on Emergency Relief Scheme (ERS), for which a carry forward will be requested at year end.  An element of the ERS was transferred to E &amp; E to fund a project which will support residents to gain vocational skills and qualifications, this in turn will enable clients to progress in employment and increase their earning power.</w:t>
      </w:r>
      <w:r>
        <w:rPr>
          <w:b/>
          <w:bCs/>
        </w:rPr>
        <w:t> </w:t>
      </w:r>
    </w:p>
    <w:p w:rsidR="0022223F" w:rsidRPr="001F44D7" w:rsidRDefault="0022223F" w:rsidP="00DA79AC">
      <w:pPr>
        <w:pStyle w:val="ListParagraph"/>
        <w:jc w:val="both"/>
      </w:pPr>
    </w:p>
    <w:p w:rsidR="0022223F" w:rsidRPr="00C7028D" w:rsidRDefault="0022223F" w:rsidP="00306458">
      <w:pPr>
        <w:pStyle w:val="ListParagraph"/>
        <w:numPr>
          <w:ilvl w:val="0"/>
          <w:numId w:val="42"/>
        </w:numPr>
        <w:ind w:hanging="720"/>
        <w:jc w:val="both"/>
      </w:pPr>
      <w:r w:rsidRPr="00C7028D">
        <w:t xml:space="preserve">The under spend relates in the main to increased income from the Civic Amenity site £194k, cemeteries £108k and commercial lettings £78k.  This is coupled with the budget originally set aside for early termination of waste vehicles which is now no longer required £124k. </w:t>
      </w:r>
    </w:p>
    <w:p w:rsidR="0022223F" w:rsidRPr="004F6A92" w:rsidRDefault="0022223F" w:rsidP="00306458">
      <w:pPr>
        <w:jc w:val="both"/>
      </w:pPr>
    </w:p>
    <w:p w:rsidR="0022223F" w:rsidRPr="00C7028D" w:rsidRDefault="0022223F" w:rsidP="00306458">
      <w:pPr>
        <w:pStyle w:val="ListParagraph"/>
        <w:numPr>
          <w:ilvl w:val="0"/>
          <w:numId w:val="42"/>
        </w:numPr>
        <w:ind w:hanging="720"/>
        <w:jc w:val="both"/>
      </w:pPr>
      <w:r>
        <w:t>O</w:t>
      </w:r>
      <w:r w:rsidRPr="00C7028D">
        <w:t>n-going vacancy management has generated further within Commissioning Services of £150k and Economic Development £49k.   </w:t>
      </w:r>
    </w:p>
    <w:p w:rsidR="0022223F" w:rsidRPr="004F6A92" w:rsidRDefault="0022223F" w:rsidP="00306458">
      <w:pPr>
        <w:jc w:val="both"/>
      </w:pPr>
    </w:p>
    <w:p w:rsidR="0022223F" w:rsidRPr="00C7028D" w:rsidRDefault="0022223F" w:rsidP="00306458">
      <w:pPr>
        <w:pStyle w:val="ListParagraph"/>
        <w:numPr>
          <w:ilvl w:val="0"/>
          <w:numId w:val="42"/>
        </w:numPr>
        <w:ind w:hanging="720"/>
        <w:jc w:val="both"/>
      </w:pPr>
      <w:r w:rsidRPr="00C7028D">
        <w:t xml:space="preserve">The above favourable variations are partially offset by </w:t>
      </w:r>
      <w:r>
        <w:t>a</w:t>
      </w:r>
      <w:r w:rsidRPr="00C7028D">
        <w:t xml:space="preserve"> forecast overspend on the waste disposal costs of £283k due to increased waste tonnage delivered to the W</w:t>
      </w:r>
      <w:r>
        <w:t xml:space="preserve">est </w:t>
      </w:r>
      <w:r w:rsidRPr="00C7028D">
        <w:t>L</w:t>
      </w:r>
      <w:r>
        <w:t xml:space="preserve">ondon </w:t>
      </w:r>
      <w:r w:rsidRPr="00C7028D">
        <w:t>W</w:t>
      </w:r>
      <w:r>
        <w:t xml:space="preserve">aste </w:t>
      </w:r>
      <w:r w:rsidRPr="00C7028D">
        <w:t>A</w:t>
      </w:r>
      <w:r>
        <w:t>uthority (WLWA)</w:t>
      </w:r>
      <w:r w:rsidRPr="00C7028D">
        <w:t>. The forecast payment to the WLWA in 14/15 is £7.8m, which could fluctuate depending on residents’ recycling habits as well as seasonal trend</w:t>
      </w:r>
      <w:r>
        <w:t>s</w:t>
      </w:r>
      <w:r w:rsidRPr="00C7028D">
        <w:t xml:space="preserve"> on garden waste.</w:t>
      </w:r>
    </w:p>
    <w:p w:rsidR="0022223F" w:rsidRPr="004F6A92" w:rsidRDefault="0022223F" w:rsidP="00306458">
      <w:pPr>
        <w:jc w:val="both"/>
      </w:pPr>
    </w:p>
    <w:p w:rsidR="0022223F" w:rsidRPr="00C7028D" w:rsidRDefault="0022223F" w:rsidP="00306458">
      <w:pPr>
        <w:pStyle w:val="ListParagraph"/>
        <w:numPr>
          <w:ilvl w:val="0"/>
          <w:numId w:val="42"/>
        </w:numPr>
        <w:ind w:hanging="720"/>
        <w:jc w:val="both"/>
      </w:pPr>
      <w:r w:rsidRPr="00C7028D">
        <w:t xml:space="preserve">Parking income is volatile and the achievement of the income budget is subject to a number of factors such as footfall, economic recovery, drivers’ behaviour and compliance to traffic rules, and weather condition. At Quarter 2, an overall parking income of £10.4m is forecast, which will be closely monitored. Work is also ongoing to determine the financial implications arising from legislative changes in relation to the use of CCTV cameras for parking enforcement activities. </w:t>
      </w:r>
    </w:p>
    <w:p w:rsidR="0022223F" w:rsidRPr="004F6A92" w:rsidRDefault="0022223F" w:rsidP="00306458">
      <w:pPr>
        <w:jc w:val="both"/>
        <w:rPr>
          <w:sz w:val="22"/>
          <w:szCs w:val="22"/>
        </w:rPr>
      </w:pPr>
    </w:p>
    <w:p w:rsidR="0022223F" w:rsidRDefault="0022223F" w:rsidP="00306458">
      <w:pPr>
        <w:pStyle w:val="ListParagraph"/>
        <w:numPr>
          <w:ilvl w:val="0"/>
          <w:numId w:val="42"/>
        </w:numPr>
        <w:ind w:hanging="720"/>
        <w:jc w:val="both"/>
        <w:rPr>
          <w:lang w:val="en-US"/>
        </w:rPr>
      </w:pPr>
      <w:r w:rsidRPr="00C7028D">
        <w:rPr>
          <w:lang w:val="en-US"/>
        </w:rPr>
        <w:t>Of the £1.926m 14/15 MTFS targets, there are two red rated</w:t>
      </w:r>
      <w:r>
        <w:rPr>
          <w:lang w:val="en-US"/>
        </w:rPr>
        <w:t xml:space="preserve"> savings:</w:t>
      </w:r>
    </w:p>
    <w:p w:rsidR="0022223F" w:rsidRPr="00A63AC2" w:rsidRDefault="0022223F" w:rsidP="00306458">
      <w:pPr>
        <w:jc w:val="both"/>
        <w:rPr>
          <w:lang w:val="en-US"/>
        </w:rPr>
      </w:pPr>
    </w:p>
    <w:p w:rsidR="0022223F" w:rsidRDefault="0022223F" w:rsidP="00306458">
      <w:pPr>
        <w:numPr>
          <w:ilvl w:val="0"/>
          <w:numId w:val="24"/>
        </w:numPr>
        <w:jc w:val="both"/>
        <w:rPr>
          <w:lang w:val="en-US"/>
        </w:rPr>
      </w:pPr>
      <w:r w:rsidRPr="00D82B95">
        <w:rPr>
          <w:lang w:val="en-US"/>
        </w:rPr>
        <w:t xml:space="preserve">£300k saving relating to parking income at Harrow Leisure Centre car park as a result of delayed implementation to permit further public and stakeholder consultation.  Quarter 2 forecast assumes that implementation will not be complete until </w:t>
      </w:r>
      <w:r>
        <w:rPr>
          <w:lang w:val="en-US"/>
        </w:rPr>
        <w:t>Quarter 1</w:t>
      </w:r>
      <w:r w:rsidRPr="00D82B95">
        <w:rPr>
          <w:lang w:val="en-US"/>
        </w:rPr>
        <w:t xml:space="preserve"> 2015/16.  The shortfall will be mitigated by over recovery of other parking income.</w:t>
      </w:r>
    </w:p>
    <w:p w:rsidR="0022223F" w:rsidRDefault="0022223F" w:rsidP="00BB3A5F">
      <w:pPr>
        <w:ind w:left="1440"/>
        <w:jc w:val="both"/>
        <w:rPr>
          <w:lang w:val="en-US"/>
        </w:rPr>
      </w:pPr>
    </w:p>
    <w:p w:rsidR="0022223F" w:rsidRPr="00BB3A5F" w:rsidRDefault="0022223F" w:rsidP="00BB3A5F">
      <w:pPr>
        <w:pStyle w:val="ListParagraph"/>
        <w:numPr>
          <w:ilvl w:val="0"/>
          <w:numId w:val="24"/>
        </w:numPr>
        <w:jc w:val="both"/>
        <w:rPr>
          <w:lang w:val="en-US"/>
        </w:rPr>
      </w:pPr>
      <w:r w:rsidRPr="00BB3A5F">
        <w:rPr>
          <w:lang w:val="en-US"/>
        </w:rPr>
        <w:t>£25k relating to revenue generation from fleet sponsorship / advertisement which remains under review.  The position reported assumes this is not achieved in 14/15.</w:t>
      </w:r>
    </w:p>
    <w:p w:rsidR="0022223F" w:rsidRDefault="0022223F" w:rsidP="004F6A92"/>
    <w:p w:rsidR="0022223F" w:rsidRPr="004F6A92" w:rsidRDefault="0022223F" w:rsidP="004F6A92"/>
    <w:p w:rsidR="0022223F" w:rsidRPr="004F6A92" w:rsidRDefault="0022223F" w:rsidP="004F6A92">
      <w:pPr>
        <w:keepNext/>
        <w:outlineLvl w:val="1"/>
        <w:rPr>
          <w:b/>
          <w:bCs/>
          <w:kern w:val="32"/>
          <w:u w:val="single"/>
        </w:rPr>
      </w:pPr>
      <w:bookmarkStart w:id="2" w:name="_Toc372706215"/>
      <w:r w:rsidRPr="004F6A92">
        <w:rPr>
          <w:b/>
          <w:bCs/>
          <w:kern w:val="32"/>
          <w:u w:val="single"/>
        </w:rPr>
        <w:t>COMMUNITY, HEALTH AND WELLBEING</w:t>
      </w:r>
      <w:bookmarkEnd w:id="2"/>
    </w:p>
    <w:p w:rsidR="0022223F" w:rsidRPr="004F6A92" w:rsidRDefault="0022223F" w:rsidP="004F6A92"/>
    <w:p w:rsidR="0022223F" w:rsidRPr="00C7028D" w:rsidRDefault="0022223F" w:rsidP="00306458">
      <w:pPr>
        <w:pStyle w:val="ListParagraph"/>
        <w:numPr>
          <w:ilvl w:val="0"/>
          <w:numId w:val="42"/>
        </w:numPr>
        <w:ind w:hanging="720"/>
        <w:jc w:val="both"/>
      </w:pPr>
      <w:bookmarkStart w:id="3" w:name="_Toc372706216"/>
      <w:r w:rsidRPr="00C7028D">
        <w:t xml:space="preserve">The Community, Health and Wellbeing Directorate is forecasting an over spend of £462k at Quarter 2, as detailed below. This is an improvement of £260k on the </w:t>
      </w:r>
      <w:r>
        <w:t>Quarter</w:t>
      </w:r>
      <w:r w:rsidRPr="00C7028D">
        <w:t xml:space="preserve"> 1 position.</w:t>
      </w:r>
    </w:p>
    <w:p w:rsidR="0022223F" w:rsidRPr="004F6A92" w:rsidRDefault="0022223F" w:rsidP="004F6A92"/>
    <w:p w:rsidR="0022223F" w:rsidRPr="004F6A92" w:rsidRDefault="0022223F" w:rsidP="004F6A92">
      <w:pPr>
        <w:rPr>
          <w:b/>
          <w:bCs/>
        </w:rPr>
      </w:pPr>
      <w:bookmarkStart w:id="4" w:name="_Toc372706220"/>
      <w:bookmarkEnd w:id="3"/>
      <w:r>
        <w:rPr>
          <w:b/>
          <w:bCs/>
        </w:rPr>
        <w:t>Adult Services</w:t>
      </w:r>
    </w:p>
    <w:p w:rsidR="0022223F" w:rsidRPr="00C7028D" w:rsidRDefault="0022223F" w:rsidP="00306458">
      <w:pPr>
        <w:pStyle w:val="ListParagraph"/>
        <w:numPr>
          <w:ilvl w:val="0"/>
          <w:numId w:val="42"/>
        </w:numPr>
        <w:ind w:hanging="720"/>
        <w:jc w:val="both"/>
      </w:pPr>
      <w:r w:rsidRPr="00C7028D">
        <w:t>Adults are reporting a projected overspend of £</w:t>
      </w:r>
      <w:r>
        <w:t>529k</w:t>
      </w:r>
      <w:r w:rsidRPr="00C7028D">
        <w:t xml:space="preserve"> against a total net </w:t>
      </w:r>
      <w:r>
        <w:t xml:space="preserve">controllable </w:t>
      </w:r>
      <w:r w:rsidRPr="00C7028D">
        <w:t>budget of £</w:t>
      </w:r>
      <w:r>
        <w:t>54</w:t>
      </w:r>
      <w:r w:rsidRPr="00C7028D">
        <w:t>m, an increase against the Quarter 1 position of £42</w:t>
      </w:r>
      <w:r>
        <w:t>4</w:t>
      </w:r>
      <w:r w:rsidRPr="00C7028D">
        <w:t>k.</w:t>
      </w:r>
    </w:p>
    <w:p w:rsidR="0022223F" w:rsidRPr="004F6A92" w:rsidRDefault="0022223F" w:rsidP="004F6A92">
      <w:pPr>
        <w:jc w:val="both"/>
        <w:rPr>
          <w:lang w:eastAsia="en-GB"/>
        </w:rPr>
      </w:pPr>
    </w:p>
    <w:p w:rsidR="0022223F" w:rsidRPr="00C7028D" w:rsidRDefault="0022223F" w:rsidP="00306458">
      <w:pPr>
        <w:pStyle w:val="ListParagraph"/>
        <w:numPr>
          <w:ilvl w:val="0"/>
          <w:numId w:val="42"/>
        </w:numPr>
        <w:ind w:hanging="720"/>
        <w:jc w:val="both"/>
        <w:rPr>
          <w:lang w:eastAsia="en-GB"/>
        </w:rPr>
      </w:pPr>
      <w:r w:rsidRPr="00C7028D">
        <w:rPr>
          <w:lang w:eastAsia="en-GB"/>
        </w:rPr>
        <w:t xml:space="preserve">The majority of Adults budgets are demand led and the Council has a statutory duty to meet vulnerable adults’ needs. It is therefore challenging to strike a balance between safeguarding adults against harm and abuse and simultaneously balancing the budgets. </w:t>
      </w:r>
    </w:p>
    <w:p w:rsidR="0022223F" w:rsidRPr="004F6A92" w:rsidRDefault="0022223F" w:rsidP="00306458">
      <w:pPr>
        <w:autoSpaceDE w:val="0"/>
        <w:autoSpaceDN w:val="0"/>
        <w:adjustRightInd w:val="0"/>
        <w:jc w:val="both"/>
      </w:pPr>
    </w:p>
    <w:p w:rsidR="0022223F" w:rsidRPr="00C7028D" w:rsidRDefault="0022223F" w:rsidP="00306458">
      <w:pPr>
        <w:pStyle w:val="ListParagraph"/>
        <w:numPr>
          <w:ilvl w:val="0"/>
          <w:numId w:val="42"/>
        </w:numPr>
        <w:autoSpaceDE w:val="0"/>
        <w:autoSpaceDN w:val="0"/>
        <w:adjustRightInd w:val="0"/>
        <w:ind w:hanging="720"/>
        <w:jc w:val="both"/>
      </w:pPr>
      <w:r w:rsidRPr="00C7028D">
        <w:t>There are a number of pressures across the directorate and the key variations are detailed below:</w:t>
      </w:r>
    </w:p>
    <w:p w:rsidR="0022223F" w:rsidRPr="004F6A92" w:rsidRDefault="0022223F" w:rsidP="004F6A92">
      <w:pPr>
        <w:autoSpaceDE w:val="0"/>
        <w:autoSpaceDN w:val="0"/>
        <w:adjustRightInd w:val="0"/>
      </w:pPr>
    </w:p>
    <w:p w:rsidR="0022223F" w:rsidRDefault="0022223F" w:rsidP="00306458">
      <w:pPr>
        <w:numPr>
          <w:ilvl w:val="0"/>
          <w:numId w:val="25"/>
        </w:numPr>
        <w:jc w:val="both"/>
      </w:pPr>
      <w:r w:rsidRPr="004F6A92">
        <w:t>There continues to be an increase in number of referrals and complexity of care required to support service users, some of which may impact the ability to fully deliver those MTFS savings which were predicated on the costs of care being provided in the community at lower weekly cost. As a result of these pressures, an overspend of £</w:t>
      </w:r>
      <w:r>
        <w:t>656k</w:t>
      </w:r>
      <w:r w:rsidRPr="004F6A92">
        <w:t xml:space="preserve"> on the purchasing budget is forecast.  This assumes that the balance of savings of £1.3m will be delivered and a drawdown of £150k from the business risk reserve to offset the Continuing Health Care and Ordinary Resident cases. </w:t>
      </w:r>
    </w:p>
    <w:p w:rsidR="0022223F" w:rsidRPr="004F6A92" w:rsidRDefault="0022223F" w:rsidP="00306458">
      <w:pPr>
        <w:ind w:left="1080"/>
      </w:pPr>
    </w:p>
    <w:p w:rsidR="0022223F" w:rsidRDefault="0022223F" w:rsidP="00306458">
      <w:pPr>
        <w:numPr>
          <w:ilvl w:val="0"/>
          <w:numId w:val="25"/>
        </w:numPr>
        <w:jc w:val="both"/>
      </w:pPr>
      <w:r w:rsidRPr="004F6A92">
        <w:t>These pressures are likely to continue in the longer term and may be resolved by wider integration with health once the B</w:t>
      </w:r>
      <w:r>
        <w:t xml:space="preserve">etter </w:t>
      </w:r>
      <w:r w:rsidRPr="004F6A92">
        <w:t>C</w:t>
      </w:r>
      <w:r>
        <w:t xml:space="preserve">are </w:t>
      </w:r>
      <w:r w:rsidRPr="004F6A92">
        <w:t>F</w:t>
      </w:r>
      <w:r>
        <w:t>und (BCF)</w:t>
      </w:r>
      <w:r w:rsidRPr="004F6A92">
        <w:t xml:space="preserve"> has been agreed. In the short term the priority is to protect service users whilst managing the fin</w:t>
      </w:r>
      <w:r>
        <w:t>ancial position.</w:t>
      </w:r>
    </w:p>
    <w:p w:rsidR="0022223F" w:rsidRPr="004F6A92" w:rsidRDefault="0022223F" w:rsidP="00306458"/>
    <w:p w:rsidR="0022223F" w:rsidRDefault="0022223F" w:rsidP="00306458">
      <w:pPr>
        <w:numPr>
          <w:ilvl w:val="0"/>
          <w:numId w:val="26"/>
        </w:numPr>
        <w:jc w:val="both"/>
      </w:pPr>
      <w:r w:rsidRPr="004F6A92">
        <w:t xml:space="preserve">£167k relates tothe Deprivation of Liberty Safeguards (DoLS), a new legislative requirement in the current financial year.  </w:t>
      </w:r>
    </w:p>
    <w:p w:rsidR="0022223F" w:rsidRPr="004F6A92" w:rsidRDefault="0022223F" w:rsidP="00306458">
      <w:pPr>
        <w:ind w:left="1080"/>
      </w:pPr>
    </w:p>
    <w:p w:rsidR="0022223F" w:rsidRDefault="0022223F" w:rsidP="00306458">
      <w:pPr>
        <w:numPr>
          <w:ilvl w:val="0"/>
          <w:numId w:val="26"/>
        </w:numPr>
        <w:jc w:val="both"/>
      </w:pPr>
      <w:r w:rsidRPr="004F6A92">
        <w:t>£127k of the overspend relates to Mental Health S75- Central North West London Hospitals Trust (CNWL) in part as a result of Harrow Clinical Commissioning Groups  decision to close Roxbourne (which</w:t>
      </w:r>
      <w:r>
        <w:t xml:space="preserve">,in the Council’s view , </w:t>
      </w:r>
      <w:r w:rsidRPr="004F6A92">
        <w:t xml:space="preserve">has resulted in increased costs for social care), together with increases in the number of care packages. The Council is actively supporting CNWL on various projects to mitigate, where possible, these pressures. </w:t>
      </w:r>
    </w:p>
    <w:p w:rsidR="0022223F" w:rsidRPr="004F6A92" w:rsidRDefault="0022223F" w:rsidP="00BB3A5F">
      <w:pPr>
        <w:jc w:val="both"/>
      </w:pPr>
    </w:p>
    <w:p w:rsidR="0022223F" w:rsidRPr="004F6A92" w:rsidRDefault="0022223F" w:rsidP="00DA79AC">
      <w:pPr>
        <w:jc w:val="both"/>
      </w:pPr>
      <w:r>
        <w:t>14.</w:t>
      </w:r>
      <w:r>
        <w:tab/>
      </w:r>
      <w:r w:rsidRPr="004F6A92">
        <w:t>The mitigations assumed in reporting this position are:</w:t>
      </w:r>
    </w:p>
    <w:p w:rsidR="0022223F" w:rsidRPr="004F6A92" w:rsidRDefault="0022223F" w:rsidP="00DA79AC">
      <w:pPr>
        <w:jc w:val="both"/>
      </w:pPr>
    </w:p>
    <w:p w:rsidR="0022223F" w:rsidRPr="004F6A92" w:rsidRDefault="0022223F" w:rsidP="00DA79AC">
      <w:pPr>
        <w:numPr>
          <w:ilvl w:val="0"/>
          <w:numId w:val="26"/>
        </w:numPr>
        <w:jc w:val="both"/>
      </w:pPr>
      <w:r w:rsidRPr="004F6A92">
        <w:t>Reduction of key positions not working directly with service users of £267k</w:t>
      </w:r>
    </w:p>
    <w:p w:rsidR="0022223F" w:rsidRPr="004F6A92" w:rsidRDefault="0022223F" w:rsidP="00DA79AC">
      <w:pPr>
        <w:numPr>
          <w:ilvl w:val="0"/>
          <w:numId w:val="26"/>
        </w:numPr>
        <w:jc w:val="both"/>
      </w:pPr>
      <w:r w:rsidRPr="004F6A92">
        <w:t>Wider determinants of public health delivered by adult social care to be funded by public health grant flexibility of £140k</w:t>
      </w:r>
    </w:p>
    <w:p w:rsidR="0022223F" w:rsidRPr="004F6A92" w:rsidRDefault="0022223F" w:rsidP="00DA79AC">
      <w:pPr>
        <w:numPr>
          <w:ilvl w:val="0"/>
          <w:numId w:val="25"/>
        </w:numPr>
        <w:jc w:val="both"/>
      </w:pPr>
      <w:r w:rsidRPr="004F6A92">
        <w:t>Use of £150k of the £750k business risk reserve in relation to the Continuing Health Care and Ordinary Resident cases. It is very likely that the remainder of the business risk reserve will need to be appropriately drawn down by the end of the financial year.</w:t>
      </w:r>
    </w:p>
    <w:p w:rsidR="0022223F" w:rsidRPr="004F6A92" w:rsidRDefault="0022223F" w:rsidP="00DA79AC">
      <w:pPr>
        <w:numPr>
          <w:ilvl w:val="0"/>
          <w:numId w:val="26"/>
        </w:numPr>
        <w:jc w:val="both"/>
      </w:pPr>
      <w:r w:rsidRPr="004F6A92">
        <w:t>Other initiatives across the directorate</w:t>
      </w:r>
    </w:p>
    <w:p w:rsidR="0022223F" w:rsidRPr="004F6A92" w:rsidRDefault="0022223F" w:rsidP="004F6A92"/>
    <w:p w:rsidR="0022223F" w:rsidRPr="00CC65DA" w:rsidRDefault="0022223F" w:rsidP="00CC65DA">
      <w:pPr>
        <w:pStyle w:val="ListParagraph"/>
        <w:numPr>
          <w:ilvl w:val="0"/>
          <w:numId w:val="47"/>
        </w:numPr>
        <w:ind w:hanging="720"/>
        <w:jc w:val="both"/>
      </w:pPr>
      <w:r w:rsidRPr="00CC65DA">
        <w:t>In addition, it should be noted that the NHS funding transfer for 2014/15 of £4.445m, whilst agreed between the Council and the Clinical Commissioning Group (CCG), has yet to be paid by NHS England.</w:t>
      </w:r>
    </w:p>
    <w:p w:rsidR="0022223F" w:rsidRPr="004F6A92" w:rsidRDefault="0022223F" w:rsidP="004F6A92">
      <w:pPr>
        <w:jc w:val="both"/>
        <w:rPr>
          <w:lang w:eastAsia="en-GB"/>
        </w:rPr>
      </w:pPr>
    </w:p>
    <w:p w:rsidR="0022223F" w:rsidRPr="00CC65DA" w:rsidRDefault="0022223F" w:rsidP="00CC65DA">
      <w:pPr>
        <w:pStyle w:val="ListParagraph"/>
        <w:numPr>
          <w:ilvl w:val="0"/>
          <w:numId w:val="47"/>
        </w:numPr>
        <w:ind w:hanging="720"/>
        <w:jc w:val="both"/>
      </w:pPr>
      <w:r w:rsidRPr="00CC65DA">
        <w:t>The overall movement between Quarter 1 and Quarter 2 is an additional reported overspend of £42</w:t>
      </w:r>
      <w:r>
        <w:t>4</w:t>
      </w:r>
      <w:r w:rsidRPr="00CC65DA">
        <w:t xml:space="preserve">k and is largely reflected in the detail above. However in the first quarter the position on the purchasing budget was assumed to be balanced.  It was not clear at this early stage whether the increase in referrals was likely to be ongoing and as a result the current forecast position at Quarter 2 more accurately reflects the anticipated position for the current financial year.  </w:t>
      </w:r>
    </w:p>
    <w:p w:rsidR="0022223F" w:rsidRPr="004F6A92" w:rsidRDefault="0022223F" w:rsidP="004F6A92">
      <w:pPr>
        <w:rPr>
          <w:b/>
          <w:bCs/>
        </w:rPr>
      </w:pPr>
    </w:p>
    <w:p w:rsidR="0022223F" w:rsidRPr="001F44D7" w:rsidRDefault="0022223F" w:rsidP="001F44D7">
      <w:pPr>
        <w:jc w:val="both"/>
        <w:rPr>
          <w:b/>
          <w:bCs/>
        </w:rPr>
      </w:pPr>
      <w:r w:rsidRPr="004F6A92">
        <w:rPr>
          <w:b/>
          <w:bCs/>
        </w:rPr>
        <w:t>C</w:t>
      </w:r>
      <w:r>
        <w:rPr>
          <w:b/>
          <w:bCs/>
        </w:rPr>
        <w:t>ommunity and Culture</w:t>
      </w:r>
    </w:p>
    <w:p w:rsidR="0022223F" w:rsidRPr="00B965AC" w:rsidRDefault="0022223F" w:rsidP="00B965AC">
      <w:pPr>
        <w:pStyle w:val="ListParagraph"/>
        <w:numPr>
          <w:ilvl w:val="0"/>
          <w:numId w:val="47"/>
        </w:numPr>
        <w:ind w:hanging="720"/>
        <w:jc w:val="both"/>
      </w:pPr>
      <w:r w:rsidRPr="00B965AC">
        <w:t>Community and Culture are reporting a projected underspend of £73k against a total net controllable budget of £4.031m. There is a positive movement of £62k between Quarters 1 and 2 and relates to underspends on repairs and maintenance budgets within the Leisure and Libraries service and settlements against historic liabilities for contracted income being less than anticipated (leisure service) .</w:t>
      </w:r>
    </w:p>
    <w:p w:rsidR="0022223F" w:rsidRPr="004F6A92" w:rsidRDefault="0022223F" w:rsidP="004F6A92">
      <w:pPr>
        <w:jc w:val="both"/>
        <w:rPr>
          <w:lang w:eastAsia="en-GB"/>
        </w:rPr>
      </w:pPr>
    </w:p>
    <w:p w:rsidR="0022223F" w:rsidRPr="004F6A92" w:rsidRDefault="0022223F" w:rsidP="004F6A92">
      <w:pPr>
        <w:jc w:val="both"/>
        <w:rPr>
          <w:b/>
          <w:bCs/>
        </w:rPr>
      </w:pPr>
      <w:r w:rsidRPr="004F6A92">
        <w:rPr>
          <w:b/>
          <w:bCs/>
        </w:rPr>
        <w:t>H</w:t>
      </w:r>
      <w:r>
        <w:rPr>
          <w:b/>
          <w:bCs/>
        </w:rPr>
        <w:t>ousing General Fund</w:t>
      </w:r>
    </w:p>
    <w:p w:rsidR="0022223F" w:rsidRPr="00C7028D" w:rsidRDefault="0022223F" w:rsidP="00DA79AC">
      <w:pPr>
        <w:pStyle w:val="ListParagraph"/>
        <w:numPr>
          <w:ilvl w:val="0"/>
          <w:numId w:val="47"/>
        </w:numPr>
        <w:ind w:hanging="720"/>
        <w:jc w:val="both"/>
        <w:rPr>
          <w:lang w:eastAsia="ar-SA"/>
        </w:rPr>
      </w:pPr>
      <w:r w:rsidRPr="00C7028D">
        <w:rPr>
          <w:lang w:eastAsia="ar-SA"/>
        </w:rPr>
        <w:t>The position shows an improvement of £</w:t>
      </w:r>
      <w:r>
        <w:rPr>
          <w:lang w:eastAsia="ar-SA"/>
        </w:rPr>
        <w:t>244</w:t>
      </w:r>
      <w:r w:rsidRPr="00C7028D">
        <w:rPr>
          <w:lang w:eastAsia="ar-SA"/>
        </w:rPr>
        <w:t>k against Quarter 1 and reflects the impact of a number of initiatives designed to relieve pressure on the General Fund. These include an increase in Private Sector Leasing (“PSL”) rents effective from 8</w:t>
      </w:r>
      <w:r w:rsidRPr="00C7028D">
        <w:rPr>
          <w:vertAlign w:val="superscript"/>
          <w:lang w:eastAsia="ar-SA"/>
        </w:rPr>
        <w:t>th</w:t>
      </w:r>
      <w:r w:rsidRPr="00C7028D">
        <w:rPr>
          <w:lang w:eastAsia="ar-SA"/>
        </w:rPr>
        <w:t xml:space="preserve"> October, which now has Portfolio Holder approval, and an anticipated increase for Bed &amp; breakfast (“B&amp;B”) from January 2015. </w:t>
      </w:r>
    </w:p>
    <w:p w:rsidR="0022223F" w:rsidRPr="004F6A92" w:rsidRDefault="0022223F" w:rsidP="004F6A92">
      <w:pPr>
        <w:rPr>
          <w:lang w:eastAsia="ar-SA"/>
        </w:rPr>
      </w:pPr>
    </w:p>
    <w:p w:rsidR="0022223F" w:rsidRPr="00C7028D" w:rsidRDefault="0022223F" w:rsidP="00B965AC">
      <w:pPr>
        <w:pStyle w:val="ListParagraph"/>
        <w:numPr>
          <w:ilvl w:val="0"/>
          <w:numId w:val="47"/>
        </w:numPr>
        <w:ind w:hanging="720"/>
        <w:jc w:val="both"/>
        <w:rPr>
          <w:lang w:eastAsia="ar-SA"/>
        </w:rPr>
      </w:pPr>
      <w:r w:rsidRPr="00C7028D">
        <w:rPr>
          <w:lang w:eastAsia="ar-SA"/>
        </w:rPr>
        <w:t>Approval by Cabinet, on 17</w:t>
      </w:r>
      <w:r w:rsidRPr="00C7028D">
        <w:rPr>
          <w:vertAlign w:val="superscript"/>
          <w:lang w:eastAsia="ar-SA"/>
        </w:rPr>
        <w:t>th</w:t>
      </w:r>
      <w:r w:rsidRPr="00C7028D">
        <w:rPr>
          <w:lang w:eastAsia="ar-SA"/>
        </w:rPr>
        <w:t xml:space="preserve"> July, of the Homes for Harrow report, which set out plans for the regeneration of the Council’s Grange Farm Estate, together with an increased drive for </w:t>
      </w:r>
      <w:r>
        <w:rPr>
          <w:lang w:eastAsia="ar-SA"/>
        </w:rPr>
        <w:t>o</w:t>
      </w:r>
      <w:r w:rsidRPr="00C7028D">
        <w:rPr>
          <w:lang w:eastAsia="ar-SA"/>
        </w:rPr>
        <w:t>ut of London moves using the Council’s Grants to Move initiatives, will free up more Council properties for use as temporary accommodation.</w:t>
      </w:r>
    </w:p>
    <w:p w:rsidR="0022223F" w:rsidRPr="004F6A92" w:rsidRDefault="0022223F" w:rsidP="004F6A92">
      <w:pPr>
        <w:rPr>
          <w:lang w:eastAsia="ar-SA"/>
        </w:rPr>
      </w:pPr>
    </w:p>
    <w:p w:rsidR="0022223F" w:rsidRPr="00C7028D" w:rsidRDefault="0022223F" w:rsidP="00B965AC">
      <w:pPr>
        <w:pStyle w:val="ListParagraph"/>
        <w:numPr>
          <w:ilvl w:val="0"/>
          <w:numId w:val="47"/>
        </w:numPr>
        <w:ind w:hanging="720"/>
        <w:jc w:val="both"/>
        <w:rPr>
          <w:lang w:eastAsia="ar-SA"/>
        </w:rPr>
      </w:pPr>
      <w:r w:rsidRPr="00C7028D">
        <w:rPr>
          <w:lang w:eastAsia="ar-SA"/>
        </w:rPr>
        <w:t>Savings required in the previous MTFS process have been achieved in the Bed &amp; Breakfast (“B&amp;B”) budget, as well as savings generated by empty homes and grants to move initiatives. This has, however, been obscured by extraordinary growth in the numbers of families seeking temporary accommodation over the last year, leading to an overall pressure of £</w:t>
      </w:r>
      <w:r>
        <w:rPr>
          <w:lang w:eastAsia="ar-SA"/>
        </w:rPr>
        <w:t>244k</w:t>
      </w:r>
      <w:r w:rsidRPr="00C7028D">
        <w:rPr>
          <w:lang w:eastAsia="ar-SA"/>
        </w:rPr>
        <w:t xml:space="preserve"> at this stage in the year, after offsetting the £</w:t>
      </w:r>
      <w:r>
        <w:rPr>
          <w:lang w:eastAsia="ar-SA"/>
        </w:rPr>
        <w:t>400k</w:t>
      </w:r>
      <w:r w:rsidRPr="00C7028D">
        <w:rPr>
          <w:lang w:eastAsia="ar-SA"/>
        </w:rPr>
        <w:t xml:space="preserve"> carry forward and charging an additional £</w:t>
      </w:r>
      <w:r>
        <w:rPr>
          <w:lang w:eastAsia="ar-SA"/>
        </w:rPr>
        <w:t>40k</w:t>
      </w:r>
      <w:r w:rsidRPr="00C7028D">
        <w:rPr>
          <w:lang w:eastAsia="ar-SA"/>
        </w:rPr>
        <w:t xml:space="preserve"> to HRA reflecting the allocation staff within the Housing Needs Service.</w:t>
      </w:r>
    </w:p>
    <w:p w:rsidR="0022223F" w:rsidRPr="004F6A92" w:rsidRDefault="0022223F" w:rsidP="004F6A92">
      <w:pPr>
        <w:rPr>
          <w:b/>
          <w:bCs/>
          <w:u w:val="single"/>
        </w:rPr>
      </w:pPr>
    </w:p>
    <w:p w:rsidR="0022223F" w:rsidRPr="00C7028D" w:rsidRDefault="0022223F" w:rsidP="00B965AC">
      <w:pPr>
        <w:pStyle w:val="ListParagraph"/>
        <w:numPr>
          <w:ilvl w:val="0"/>
          <w:numId w:val="47"/>
        </w:numPr>
        <w:ind w:hanging="720"/>
        <w:jc w:val="both"/>
        <w:rPr>
          <w:lang w:eastAsia="ar-SA"/>
        </w:rPr>
      </w:pPr>
      <w:r w:rsidRPr="00C7028D">
        <w:rPr>
          <w:lang w:eastAsia="ar-SA"/>
        </w:rPr>
        <w:t>The Housing Service continues to explore new initiatives with the aim of bringing the outturn in on budget. These include the extension of a range of incentives to private landlords for the acquisition of properties to mitigate the costs of homelessness with the aim of bringing the outturn in on budget and alleviate pressures on the Council’s General Fund.</w:t>
      </w:r>
    </w:p>
    <w:p w:rsidR="0022223F" w:rsidRPr="004F6A92" w:rsidRDefault="0022223F" w:rsidP="004F6A92">
      <w:pPr>
        <w:rPr>
          <w:b/>
          <w:bCs/>
          <w:u w:val="single"/>
        </w:rPr>
      </w:pPr>
    </w:p>
    <w:p w:rsidR="0022223F" w:rsidRPr="00C7028D" w:rsidRDefault="0022223F" w:rsidP="00B965AC">
      <w:pPr>
        <w:pStyle w:val="ListParagraph"/>
        <w:numPr>
          <w:ilvl w:val="0"/>
          <w:numId w:val="47"/>
        </w:numPr>
        <w:suppressAutoHyphens/>
        <w:ind w:hanging="720"/>
        <w:jc w:val="both"/>
        <w:rPr>
          <w:lang w:eastAsia="ar-SA"/>
        </w:rPr>
      </w:pPr>
      <w:r w:rsidRPr="00C7028D">
        <w:rPr>
          <w:lang w:eastAsia="ar-SA"/>
        </w:rPr>
        <w:t>The Government’s Welfare Reforms continue to take effect and their impact on the bad debt provision is under review. The Council has access to Discretionary Housing Payments, only slightly reduced from 2013</w:t>
      </w:r>
      <w:r>
        <w:rPr>
          <w:lang w:eastAsia="ar-SA"/>
        </w:rPr>
        <w:t>/</w:t>
      </w:r>
      <w:r w:rsidRPr="00C7028D">
        <w:rPr>
          <w:lang w:eastAsia="ar-SA"/>
        </w:rPr>
        <w:t>14, and is on track for full utilisation which helps with homelessness prevention.</w:t>
      </w:r>
    </w:p>
    <w:p w:rsidR="0022223F" w:rsidRPr="004F6A92" w:rsidRDefault="0022223F" w:rsidP="004F6A92">
      <w:pPr>
        <w:suppressAutoHyphens/>
        <w:rPr>
          <w:b/>
          <w:bCs/>
          <w:lang w:eastAsia="ar-SA"/>
        </w:rPr>
      </w:pPr>
    </w:p>
    <w:p w:rsidR="0022223F" w:rsidRPr="001F44D7" w:rsidRDefault="0022223F" w:rsidP="004F6A92">
      <w:pPr>
        <w:suppressAutoHyphens/>
        <w:rPr>
          <w:b/>
          <w:bCs/>
          <w:lang w:eastAsia="ar-SA"/>
        </w:rPr>
      </w:pPr>
      <w:r w:rsidRPr="004F6A92">
        <w:rPr>
          <w:b/>
          <w:bCs/>
          <w:lang w:eastAsia="ar-SA"/>
        </w:rPr>
        <w:t>H</w:t>
      </w:r>
      <w:r>
        <w:rPr>
          <w:b/>
          <w:bCs/>
          <w:lang w:eastAsia="ar-SA"/>
        </w:rPr>
        <w:t>ousing Revenue Account</w:t>
      </w:r>
    </w:p>
    <w:p w:rsidR="0022223F" w:rsidRPr="00C7028D" w:rsidRDefault="0022223F" w:rsidP="00B965AC">
      <w:pPr>
        <w:pStyle w:val="ListParagraph"/>
        <w:numPr>
          <w:ilvl w:val="0"/>
          <w:numId w:val="47"/>
        </w:numPr>
        <w:ind w:hanging="720"/>
        <w:jc w:val="both"/>
        <w:rPr>
          <w:color w:val="000000"/>
          <w:lang w:eastAsia="en-GB"/>
        </w:rPr>
      </w:pPr>
      <w:r w:rsidRPr="00C7028D">
        <w:rPr>
          <w:color w:val="000000"/>
          <w:lang w:eastAsia="en-GB"/>
        </w:rPr>
        <w:t>The forecast outturn shows an adverse variation of £268</w:t>
      </w:r>
      <w:r>
        <w:rPr>
          <w:color w:val="000000"/>
          <w:lang w:eastAsia="en-GB"/>
        </w:rPr>
        <w:t>k</w:t>
      </w:r>
      <w:r w:rsidRPr="00C7028D">
        <w:rPr>
          <w:color w:val="000000"/>
          <w:lang w:eastAsia="en-GB"/>
        </w:rPr>
        <w:t xml:space="preserve"> due mainly to additional depreciation charges of £216</w:t>
      </w:r>
      <w:r>
        <w:rPr>
          <w:color w:val="000000"/>
          <w:lang w:eastAsia="en-GB"/>
        </w:rPr>
        <w:t>k</w:t>
      </w:r>
      <w:r w:rsidRPr="00C7028D">
        <w:rPr>
          <w:color w:val="000000"/>
          <w:lang w:eastAsia="en-GB"/>
        </w:rPr>
        <w:t xml:space="preserve"> for non-dwellings and £187</w:t>
      </w:r>
      <w:r>
        <w:rPr>
          <w:color w:val="000000"/>
          <w:lang w:eastAsia="en-GB"/>
        </w:rPr>
        <w:t>k</w:t>
      </w:r>
      <w:r w:rsidRPr="00C7028D">
        <w:rPr>
          <w:color w:val="000000"/>
          <w:lang w:eastAsia="en-GB"/>
        </w:rPr>
        <w:t xml:space="preserve"> for dwellings. Both result in only a transfer of resources to the Major Repairs Reserve therefore have no overall impact on the resources available to the Council's HRA. These arise from changes in methodology applied for 2013</w:t>
      </w:r>
      <w:r>
        <w:rPr>
          <w:color w:val="000000"/>
          <w:lang w:eastAsia="en-GB"/>
        </w:rPr>
        <w:t>/</w:t>
      </w:r>
      <w:r w:rsidRPr="00C7028D">
        <w:rPr>
          <w:color w:val="000000"/>
          <w:lang w:eastAsia="en-GB"/>
        </w:rPr>
        <w:t xml:space="preserve">14 final accounts. The position has improved from </w:t>
      </w:r>
      <w:r>
        <w:rPr>
          <w:color w:val="000000"/>
          <w:lang w:eastAsia="en-GB"/>
        </w:rPr>
        <w:t>Quarter</w:t>
      </w:r>
      <w:r w:rsidRPr="00C7028D">
        <w:rPr>
          <w:color w:val="000000"/>
          <w:lang w:eastAsia="en-GB"/>
        </w:rPr>
        <w:t xml:space="preserve"> 1 by £128k due mainly to the completion of the leasehold billing exercise and reduced contribution to bad debt provision.</w:t>
      </w:r>
    </w:p>
    <w:p w:rsidR="0022223F" w:rsidRPr="004F6A92" w:rsidRDefault="0022223F" w:rsidP="00155E45">
      <w:pPr>
        <w:jc w:val="both"/>
        <w:rPr>
          <w:color w:val="000000"/>
          <w:lang w:eastAsia="en-GB"/>
        </w:rPr>
      </w:pPr>
    </w:p>
    <w:p w:rsidR="0022223F" w:rsidRDefault="0022223F" w:rsidP="00B965AC">
      <w:pPr>
        <w:pStyle w:val="ListParagraph"/>
        <w:numPr>
          <w:ilvl w:val="0"/>
          <w:numId w:val="47"/>
        </w:numPr>
        <w:ind w:hanging="720"/>
        <w:jc w:val="both"/>
        <w:rPr>
          <w:color w:val="000000"/>
          <w:lang w:eastAsia="en-GB"/>
        </w:rPr>
      </w:pPr>
      <w:r w:rsidRPr="00C7028D">
        <w:rPr>
          <w:color w:val="000000"/>
          <w:lang w:eastAsia="en-GB"/>
        </w:rPr>
        <w:t>Impairment charges for non-dwellings estimated at £1.5m have not been included in the forecast outturn although, under current regulations, a charge against HRA balances is required. This issue has been raised by a number of Councils as the regulations are not consistent with the Government’s stated objective of encouraging new build. DCLG are in the process of discussing this issue with CIPFA and an update will be provided at Q</w:t>
      </w:r>
      <w:r>
        <w:rPr>
          <w:color w:val="000000"/>
          <w:lang w:eastAsia="en-GB"/>
        </w:rPr>
        <w:t>uarter</w:t>
      </w:r>
      <w:r w:rsidRPr="00C7028D">
        <w:rPr>
          <w:color w:val="000000"/>
          <w:lang w:eastAsia="en-GB"/>
        </w:rPr>
        <w:t xml:space="preserve"> 3.</w:t>
      </w:r>
    </w:p>
    <w:p w:rsidR="0022223F" w:rsidRPr="00796DCE" w:rsidRDefault="0022223F" w:rsidP="00796DCE">
      <w:pPr>
        <w:pStyle w:val="ListParagraph"/>
        <w:rPr>
          <w:color w:val="000000"/>
          <w:lang w:eastAsia="en-GB"/>
        </w:rPr>
      </w:pPr>
    </w:p>
    <w:p w:rsidR="0022223F" w:rsidRPr="00155E45" w:rsidRDefault="0022223F" w:rsidP="00796DCE">
      <w:pPr>
        <w:jc w:val="both"/>
        <w:rPr>
          <w:b/>
          <w:bCs/>
          <w:u w:val="single"/>
        </w:rPr>
      </w:pPr>
      <w:r w:rsidRPr="00155E45">
        <w:rPr>
          <w:b/>
          <w:bCs/>
          <w:u w:val="single"/>
        </w:rPr>
        <w:t>Table 2: Housing Revenue Account – 2014/15 Summary</w:t>
      </w:r>
    </w:p>
    <w:p w:rsidR="0022223F" w:rsidRPr="004F6A92" w:rsidRDefault="0022223F" w:rsidP="004F6A92">
      <w:pPr>
        <w:jc w:val="both"/>
        <w:rPr>
          <w:lang w:eastAsia="ar-SA"/>
        </w:rPr>
      </w:pPr>
      <w:r w:rsidRPr="00CB7A9B">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39.75pt;height:123.75pt;visibility:visible">
            <v:imagedata r:id="rId7" o:title=""/>
          </v:shape>
        </w:pict>
      </w:r>
    </w:p>
    <w:p w:rsidR="0022223F" w:rsidRPr="004F6A92" w:rsidRDefault="0022223F" w:rsidP="004F6A92">
      <w:pPr>
        <w:jc w:val="both"/>
        <w:rPr>
          <w:lang w:eastAsia="ar-SA"/>
        </w:rPr>
      </w:pPr>
    </w:p>
    <w:p w:rsidR="0022223F" w:rsidRPr="001F44D7" w:rsidRDefault="0022223F" w:rsidP="001F44D7">
      <w:pPr>
        <w:jc w:val="both"/>
        <w:rPr>
          <w:b/>
          <w:bCs/>
        </w:rPr>
      </w:pPr>
      <w:r w:rsidRPr="004F6A92">
        <w:rPr>
          <w:b/>
          <w:bCs/>
        </w:rPr>
        <w:t>P</w:t>
      </w:r>
      <w:r>
        <w:rPr>
          <w:b/>
          <w:bCs/>
        </w:rPr>
        <w:t xml:space="preserve">ublic Health </w:t>
      </w:r>
    </w:p>
    <w:p w:rsidR="0022223F" w:rsidRPr="00C7028D" w:rsidRDefault="0022223F" w:rsidP="00B965AC">
      <w:pPr>
        <w:pStyle w:val="ListParagraph"/>
        <w:numPr>
          <w:ilvl w:val="0"/>
          <w:numId w:val="47"/>
        </w:numPr>
        <w:ind w:hanging="720"/>
        <w:jc w:val="both"/>
      </w:pPr>
      <w:r w:rsidRPr="00C7028D">
        <w:t>The budgets for 2014/15 reflect the commissioning intentions agreed by Cabinet in December.</w:t>
      </w:r>
    </w:p>
    <w:p w:rsidR="0022223F" w:rsidRPr="004F6A92" w:rsidRDefault="0022223F" w:rsidP="004F6A92"/>
    <w:p w:rsidR="0022223F" w:rsidRPr="00C7028D" w:rsidRDefault="0022223F" w:rsidP="00B965AC">
      <w:pPr>
        <w:pStyle w:val="ListParagraph"/>
        <w:numPr>
          <w:ilvl w:val="0"/>
          <w:numId w:val="47"/>
        </w:numPr>
        <w:ind w:hanging="720"/>
        <w:jc w:val="both"/>
      </w:pPr>
      <w:r w:rsidRPr="00C7028D">
        <w:t>A £372k underspend is being reported at Quarter 2 against Public Health Grant, however of this £140k is reflected within Adult Social Care representing the wider public health responsibilities being delivered.  The remaining balance of £232k, will not be allocated to the Public Health Reserve at year end but is expected to fund the wider determinants of Public Health delivered in other directorates across the Council.  As the appropriate schemes are agreed, these amounts will be reflected in the relevant directorate position.</w:t>
      </w:r>
    </w:p>
    <w:p w:rsidR="0022223F" w:rsidRPr="004F6A92" w:rsidRDefault="0022223F" w:rsidP="00155E45">
      <w:pPr>
        <w:jc w:val="both"/>
      </w:pPr>
    </w:p>
    <w:p w:rsidR="0022223F" w:rsidRPr="00C7028D" w:rsidRDefault="0022223F" w:rsidP="00B965AC">
      <w:pPr>
        <w:pStyle w:val="ListParagraph"/>
        <w:numPr>
          <w:ilvl w:val="0"/>
          <w:numId w:val="47"/>
        </w:numPr>
        <w:ind w:hanging="720"/>
        <w:jc w:val="both"/>
      </w:pPr>
      <w:r w:rsidRPr="00C7028D">
        <w:t xml:space="preserve">A balanced position was reported at </w:t>
      </w:r>
      <w:r>
        <w:t>Quarter</w:t>
      </w:r>
      <w:r w:rsidRPr="00C7028D">
        <w:t xml:space="preserve"> 1. The movement of £372k relates largely to underspends on Sexual Health Service and Health checks, as a result of lower than anticipated activity levels.  </w:t>
      </w:r>
    </w:p>
    <w:p w:rsidR="0022223F" w:rsidRPr="004F6A92" w:rsidRDefault="0022223F" w:rsidP="004F6A92"/>
    <w:p w:rsidR="0022223F" w:rsidRPr="00C7028D" w:rsidRDefault="0022223F" w:rsidP="00B965AC">
      <w:pPr>
        <w:pStyle w:val="ListParagraph"/>
        <w:numPr>
          <w:ilvl w:val="0"/>
          <w:numId w:val="47"/>
        </w:numPr>
        <w:ind w:hanging="720"/>
        <w:jc w:val="both"/>
      </w:pPr>
      <w:r w:rsidRPr="00C7028D">
        <w:t>£178k of the underspend relates to Sexual Health Services (approximately 30% of overall Public Health budget), specifically to Genito Urinary Medicine (GUM) service. This is based on the first quarter activity levels and assumes this will be representative of activity throughout the year, if this level of activity does not continue, the forecast underspend will reduce accordingly.</w:t>
      </w:r>
    </w:p>
    <w:p w:rsidR="0022223F" w:rsidRPr="004F6A92" w:rsidRDefault="0022223F" w:rsidP="004F6A92"/>
    <w:p w:rsidR="0022223F" w:rsidRPr="00C7028D" w:rsidRDefault="0022223F" w:rsidP="00B965AC">
      <w:pPr>
        <w:pStyle w:val="ListParagraph"/>
        <w:numPr>
          <w:ilvl w:val="0"/>
          <w:numId w:val="47"/>
        </w:numPr>
        <w:ind w:hanging="720"/>
        <w:jc w:val="both"/>
      </w:pPr>
      <w:r w:rsidRPr="00C7028D">
        <w:t>At the end of 2013/14, unspent grant of £</w:t>
      </w:r>
      <w:r>
        <w:t>666k</w:t>
      </w:r>
      <w:r w:rsidRPr="00C7028D">
        <w:t xml:space="preserve"> was carried forward specifically for Public Health within the Council’s ring-fenced reserve.  This unspent grant is being regularly reviewed and to date £164k is committed against the reserve.</w:t>
      </w:r>
    </w:p>
    <w:p w:rsidR="0022223F" w:rsidRPr="004F6A92" w:rsidRDefault="0022223F" w:rsidP="004F6A92"/>
    <w:p w:rsidR="0022223F" w:rsidRPr="004F6A92" w:rsidRDefault="0022223F" w:rsidP="004F6A92">
      <w:pPr>
        <w:jc w:val="both"/>
        <w:rPr>
          <w:b/>
          <w:bCs/>
        </w:rPr>
      </w:pPr>
      <w:r w:rsidRPr="004F6A92">
        <w:rPr>
          <w:b/>
          <w:bCs/>
        </w:rPr>
        <w:t>T</w:t>
      </w:r>
      <w:r>
        <w:rPr>
          <w:b/>
          <w:bCs/>
        </w:rPr>
        <w:t>ransformation</w:t>
      </w:r>
    </w:p>
    <w:p w:rsidR="0022223F" w:rsidRPr="00C7028D" w:rsidRDefault="0022223F" w:rsidP="00B965AC">
      <w:pPr>
        <w:pStyle w:val="ListParagraph"/>
        <w:numPr>
          <w:ilvl w:val="0"/>
          <w:numId w:val="47"/>
        </w:numPr>
        <w:autoSpaceDE w:val="0"/>
        <w:autoSpaceDN w:val="0"/>
        <w:adjustRightInd w:val="0"/>
        <w:ind w:hanging="720"/>
        <w:jc w:val="both"/>
        <w:rPr>
          <w:lang w:val="en-US"/>
        </w:rPr>
      </w:pPr>
      <w:r w:rsidRPr="00C7028D">
        <w:t xml:space="preserve">Transformation is reporting a projected underspend of £6k against a total net </w:t>
      </w:r>
      <w:r>
        <w:t>controllable budget of £398</w:t>
      </w:r>
      <w:r w:rsidRPr="00C7028D">
        <w:t>k. This is due to the s</w:t>
      </w:r>
      <w:r w:rsidRPr="00C7028D">
        <w:rPr>
          <w:lang w:val="en-US"/>
        </w:rPr>
        <w:t>tart date for Harrow Mutual Support Network been pushed back one month to 1</w:t>
      </w:r>
      <w:r w:rsidRPr="00C7028D">
        <w:rPr>
          <w:vertAlign w:val="superscript"/>
          <w:lang w:val="en-US"/>
        </w:rPr>
        <w:t>st</w:t>
      </w:r>
      <w:r w:rsidRPr="00C7028D">
        <w:rPr>
          <w:lang w:val="en-US"/>
        </w:rPr>
        <w:t xml:space="preserve"> of May 2014 reducing the spend by £12.5k which is partly offset by staffing cost pressures</w:t>
      </w:r>
      <w:r>
        <w:rPr>
          <w:lang w:val="en-US"/>
        </w:rPr>
        <w:t>.</w:t>
      </w:r>
    </w:p>
    <w:p w:rsidR="0022223F" w:rsidRDefault="0022223F" w:rsidP="004F6A92"/>
    <w:p w:rsidR="0022223F" w:rsidRPr="004F6A92" w:rsidRDefault="0022223F" w:rsidP="004F6A92"/>
    <w:p w:rsidR="0022223F" w:rsidRPr="004F6A92" w:rsidRDefault="0022223F" w:rsidP="004F6A92">
      <w:pPr>
        <w:keepNext/>
        <w:outlineLvl w:val="1"/>
        <w:rPr>
          <w:b/>
          <w:bCs/>
          <w:kern w:val="32"/>
          <w:u w:val="single"/>
        </w:rPr>
      </w:pPr>
      <w:bookmarkStart w:id="5" w:name="_Toc372706221"/>
      <w:bookmarkEnd w:id="4"/>
      <w:r w:rsidRPr="004F6A92">
        <w:rPr>
          <w:b/>
          <w:bCs/>
          <w:kern w:val="32"/>
          <w:u w:val="single"/>
        </w:rPr>
        <w:t>CHILDREN AND FAMILIES</w:t>
      </w:r>
      <w:bookmarkEnd w:id="5"/>
    </w:p>
    <w:p w:rsidR="0022223F" w:rsidRPr="004F6A92" w:rsidRDefault="0022223F" w:rsidP="004F6A92"/>
    <w:p w:rsidR="0022223F" w:rsidRPr="00C7028D" w:rsidRDefault="0022223F" w:rsidP="00B965AC">
      <w:pPr>
        <w:pStyle w:val="ListParagraph"/>
        <w:numPr>
          <w:ilvl w:val="0"/>
          <w:numId w:val="47"/>
        </w:numPr>
        <w:spacing w:after="240"/>
        <w:ind w:hanging="720"/>
        <w:jc w:val="both"/>
        <w:rPr>
          <w:lang w:eastAsia="ar-SA"/>
        </w:rPr>
      </w:pPr>
      <w:r w:rsidRPr="00C7028D">
        <w:rPr>
          <w:lang w:eastAsia="ar-SA"/>
        </w:rPr>
        <w:t>As at Quarter 2 the total forecast overspend for the Directorate is £811</w:t>
      </w:r>
      <w:r>
        <w:rPr>
          <w:lang w:eastAsia="ar-SA"/>
        </w:rPr>
        <w:t>k</w:t>
      </w:r>
      <w:r w:rsidRPr="00C7028D">
        <w:rPr>
          <w:lang w:eastAsia="ar-SA"/>
        </w:rPr>
        <w:t>. There are several areas of pressure. Special Needs Transport (£557</w:t>
      </w:r>
      <w:r>
        <w:rPr>
          <w:lang w:eastAsia="ar-SA"/>
        </w:rPr>
        <w:t>k</w:t>
      </w:r>
      <w:r w:rsidRPr="00C7028D">
        <w:rPr>
          <w:lang w:eastAsia="ar-SA"/>
        </w:rPr>
        <w:t>), (£267k) is owing to the delay in implementing the service transformation programme after it was necessary to carry out additional consultation that delayed the start date of the programme and (£290k) due to growth in demand, Children with Disability staffing (£91k) and Children with Disability client costs (£169k) due to demand. There is a pressure in Targeted Services staffing (£448k) as a result of agency and interims covering vacancies and sickness and additional staff to manage caseloads and client spend (£732</w:t>
      </w:r>
      <w:r>
        <w:rPr>
          <w:lang w:eastAsia="ar-SA"/>
        </w:rPr>
        <w:t>k</w:t>
      </w:r>
      <w:r w:rsidRPr="00C7028D">
        <w:rPr>
          <w:lang w:eastAsia="ar-SA"/>
        </w:rPr>
        <w:t xml:space="preserve">) due to demand. This is offset by one off un- ring fenced grants, staff vacancies and other management actions. </w:t>
      </w:r>
    </w:p>
    <w:p w:rsidR="0022223F" w:rsidRPr="00155E45" w:rsidRDefault="0022223F" w:rsidP="00B965AC">
      <w:pPr>
        <w:pStyle w:val="ListParagraph"/>
        <w:numPr>
          <w:ilvl w:val="0"/>
          <w:numId w:val="47"/>
        </w:numPr>
        <w:spacing w:after="240"/>
        <w:ind w:hanging="720"/>
        <w:jc w:val="both"/>
        <w:rPr>
          <w:b/>
          <w:bCs/>
        </w:rPr>
      </w:pPr>
      <w:r w:rsidRPr="00C7028D">
        <w:rPr>
          <w:lang w:eastAsia="ar-SA"/>
        </w:rPr>
        <w:t xml:space="preserve">The overall movement between </w:t>
      </w:r>
      <w:r>
        <w:rPr>
          <w:lang w:eastAsia="ar-SA"/>
        </w:rPr>
        <w:t>Quarter 1</w:t>
      </w:r>
      <w:r w:rsidRPr="00C7028D">
        <w:rPr>
          <w:lang w:eastAsia="ar-SA"/>
        </w:rPr>
        <w:t xml:space="preserve"> and </w:t>
      </w:r>
      <w:r>
        <w:rPr>
          <w:lang w:eastAsia="ar-SA"/>
        </w:rPr>
        <w:t>Quarter 2</w:t>
      </w:r>
      <w:r w:rsidRPr="00C7028D">
        <w:rPr>
          <w:lang w:eastAsia="ar-SA"/>
        </w:rPr>
        <w:t xml:space="preserve"> is an additional reported overspend of £170k. The forecast spends on Placements and Special Needs Transport have increased by £445k and £402k respectively between </w:t>
      </w:r>
      <w:r>
        <w:rPr>
          <w:lang w:eastAsia="ar-SA"/>
        </w:rPr>
        <w:t>Quarter 1</w:t>
      </w:r>
      <w:r w:rsidRPr="00C7028D">
        <w:rPr>
          <w:lang w:eastAsia="ar-SA"/>
        </w:rPr>
        <w:t xml:space="preserve"> and </w:t>
      </w:r>
      <w:r>
        <w:rPr>
          <w:lang w:eastAsia="ar-SA"/>
        </w:rPr>
        <w:t>Quarter 2</w:t>
      </w:r>
      <w:r w:rsidRPr="00C7028D">
        <w:rPr>
          <w:lang w:eastAsia="ar-SA"/>
        </w:rPr>
        <w:t>. These increases have been largely offset by early savings of £365k which have been identified and held centrally and other management actions.</w:t>
      </w:r>
    </w:p>
    <w:p w:rsidR="0022223F" w:rsidRDefault="0022223F" w:rsidP="00155E45">
      <w:pPr>
        <w:pStyle w:val="ListParagraph"/>
        <w:spacing w:after="240"/>
        <w:jc w:val="both"/>
        <w:rPr>
          <w:b/>
          <w:bCs/>
        </w:rPr>
      </w:pPr>
    </w:p>
    <w:p w:rsidR="0022223F" w:rsidRDefault="0022223F" w:rsidP="00155E45">
      <w:pPr>
        <w:pStyle w:val="ListParagraph"/>
        <w:spacing w:after="240"/>
        <w:jc w:val="both"/>
        <w:rPr>
          <w:b/>
          <w:bCs/>
        </w:rPr>
      </w:pPr>
    </w:p>
    <w:p w:rsidR="0022223F" w:rsidRDefault="0022223F" w:rsidP="00155E45">
      <w:pPr>
        <w:pStyle w:val="ListParagraph"/>
        <w:spacing w:after="240"/>
        <w:jc w:val="both"/>
        <w:rPr>
          <w:b/>
          <w:bCs/>
        </w:rPr>
      </w:pPr>
    </w:p>
    <w:p w:rsidR="0022223F" w:rsidRDefault="0022223F" w:rsidP="00155E45">
      <w:pPr>
        <w:pStyle w:val="ListParagraph"/>
        <w:spacing w:after="240"/>
        <w:jc w:val="both"/>
        <w:rPr>
          <w:b/>
          <w:bCs/>
        </w:rPr>
      </w:pPr>
    </w:p>
    <w:p w:rsidR="0022223F" w:rsidRPr="00C7028D" w:rsidRDefault="0022223F" w:rsidP="00155E45">
      <w:pPr>
        <w:pStyle w:val="ListParagraph"/>
        <w:spacing w:after="240"/>
        <w:jc w:val="both"/>
        <w:rPr>
          <w:b/>
          <w:bCs/>
        </w:rPr>
      </w:pPr>
    </w:p>
    <w:p w:rsidR="0022223F" w:rsidRPr="00C400A5" w:rsidRDefault="0022223F" w:rsidP="009862B0">
      <w:pPr>
        <w:autoSpaceDE w:val="0"/>
        <w:autoSpaceDN w:val="0"/>
        <w:adjustRightInd w:val="0"/>
        <w:spacing w:after="120"/>
        <w:ind w:right="489"/>
        <w:jc w:val="both"/>
        <w:rPr>
          <w:b/>
          <w:bCs/>
          <w:caps/>
          <w:u w:val="single"/>
        </w:rPr>
      </w:pPr>
      <w:r w:rsidRPr="00C400A5">
        <w:rPr>
          <w:b/>
          <w:bCs/>
          <w:u w:val="single"/>
        </w:rPr>
        <w:t xml:space="preserve">CORPORATE BUDGETS </w:t>
      </w:r>
    </w:p>
    <w:p w:rsidR="0022223F" w:rsidRPr="00D5566E" w:rsidRDefault="0022223F" w:rsidP="00D5566E">
      <w:pPr>
        <w:rPr>
          <w:b/>
          <w:bCs/>
        </w:rPr>
      </w:pPr>
      <w:bookmarkStart w:id="6" w:name="_Toc372706223"/>
      <w:r w:rsidRPr="00D5566E">
        <w:rPr>
          <w:b/>
          <w:bCs/>
        </w:rPr>
        <w:t>Interest and Finance Charges</w:t>
      </w:r>
      <w:bookmarkEnd w:id="6"/>
    </w:p>
    <w:p w:rsidR="0022223F" w:rsidRPr="00FB384D" w:rsidRDefault="0022223F" w:rsidP="00B965AC">
      <w:pPr>
        <w:pStyle w:val="ListParagraph"/>
        <w:numPr>
          <w:ilvl w:val="0"/>
          <w:numId w:val="47"/>
        </w:numPr>
        <w:spacing w:after="240"/>
        <w:ind w:hanging="720"/>
        <w:jc w:val="both"/>
      </w:pPr>
      <w:r>
        <w:t>There is an i</w:t>
      </w:r>
      <w:r w:rsidRPr="00750658">
        <w:t>ncrease in investment income due to higher than anticipated cash balances of £350k</w:t>
      </w:r>
      <w:r>
        <w:t>.</w:t>
      </w:r>
    </w:p>
    <w:p w:rsidR="0022223F" w:rsidRPr="00D5566E" w:rsidRDefault="0022223F" w:rsidP="00D5566E">
      <w:pPr>
        <w:rPr>
          <w:b/>
          <w:bCs/>
        </w:rPr>
      </w:pPr>
      <w:bookmarkStart w:id="7" w:name="_Toc372706224"/>
      <w:r w:rsidRPr="00D5566E">
        <w:rPr>
          <w:b/>
          <w:bCs/>
        </w:rPr>
        <w:t>Central Contingency</w:t>
      </w:r>
      <w:bookmarkEnd w:id="7"/>
    </w:p>
    <w:p w:rsidR="0022223F" w:rsidRDefault="0022223F" w:rsidP="00B965AC">
      <w:pPr>
        <w:pStyle w:val="ListParagraph"/>
        <w:numPr>
          <w:ilvl w:val="0"/>
          <w:numId w:val="47"/>
        </w:numPr>
        <w:ind w:hanging="720"/>
        <w:jc w:val="both"/>
      </w:pPr>
      <w:r>
        <w:t xml:space="preserve">The </w:t>
      </w:r>
      <w:r w:rsidRPr="00FB384D">
        <w:t xml:space="preserve">Central Contingency </w:t>
      </w:r>
      <w:r>
        <w:t>for unforeseen items in 2014/15 is £921k.  There have been no drawdown against the contingency, however an underspend has not been forecast at Quarter 2 pending clarification on the extent to which directorates manage to contain the cost pressures faced. This continues to be monitored.</w:t>
      </w:r>
    </w:p>
    <w:p w:rsidR="0022223F" w:rsidRDefault="0022223F" w:rsidP="00D5566E">
      <w:pPr>
        <w:rPr>
          <w:b/>
          <w:bCs/>
        </w:rPr>
      </w:pPr>
    </w:p>
    <w:p w:rsidR="0022223F" w:rsidRPr="00082FF2" w:rsidRDefault="0022223F" w:rsidP="00D5566E">
      <w:pPr>
        <w:rPr>
          <w:b/>
          <w:bCs/>
        </w:rPr>
      </w:pPr>
      <w:r w:rsidRPr="00082FF2">
        <w:rPr>
          <w:b/>
          <w:bCs/>
        </w:rPr>
        <w:t>Pay Inflation</w:t>
      </w:r>
    </w:p>
    <w:p w:rsidR="0022223F" w:rsidRDefault="0022223F" w:rsidP="00B965AC">
      <w:pPr>
        <w:pStyle w:val="ListParagraph"/>
        <w:numPr>
          <w:ilvl w:val="0"/>
          <w:numId w:val="47"/>
        </w:numPr>
        <w:ind w:hanging="720"/>
        <w:jc w:val="both"/>
      </w:pPr>
      <w:r>
        <w:t xml:space="preserve">£950k has been provided in respect of a 1% pay award with effect from 1 April 2014. The award has recently been agreed and represents different increases at different grades. The effect of the proposal is currently being costed but is anticipated to match the provision for the pay award. </w:t>
      </w:r>
    </w:p>
    <w:p w:rsidR="0022223F" w:rsidRDefault="0022223F" w:rsidP="00D5566E">
      <w:pPr>
        <w:rPr>
          <w:b/>
          <w:bCs/>
        </w:rPr>
      </w:pPr>
    </w:p>
    <w:p w:rsidR="0022223F" w:rsidRPr="00215306" w:rsidRDefault="0022223F" w:rsidP="00D5566E">
      <w:pPr>
        <w:rPr>
          <w:b/>
          <w:bCs/>
        </w:rPr>
      </w:pPr>
      <w:r>
        <w:rPr>
          <w:b/>
          <w:bCs/>
        </w:rPr>
        <w:t>Gas and Electricity</w:t>
      </w:r>
      <w:r w:rsidRPr="00215306">
        <w:rPr>
          <w:b/>
          <w:bCs/>
        </w:rPr>
        <w:t xml:space="preserve"> Inflation</w:t>
      </w:r>
    </w:p>
    <w:p w:rsidR="0022223F" w:rsidRDefault="0022223F" w:rsidP="00B965AC">
      <w:pPr>
        <w:pStyle w:val="ListParagraph"/>
        <w:numPr>
          <w:ilvl w:val="0"/>
          <w:numId w:val="47"/>
        </w:numPr>
        <w:ind w:hanging="720"/>
        <w:jc w:val="both"/>
      </w:pPr>
      <w:r>
        <w:t xml:space="preserve">£450k has been provided against increases in price.  The call against this provision will not be established until later in the year. </w:t>
      </w:r>
    </w:p>
    <w:p w:rsidR="0022223F" w:rsidRDefault="0022223F" w:rsidP="009862B0">
      <w:pPr>
        <w:autoSpaceDE w:val="0"/>
        <w:autoSpaceDN w:val="0"/>
        <w:adjustRightInd w:val="0"/>
        <w:ind w:right="489"/>
        <w:jc w:val="both"/>
        <w:rPr>
          <w:b/>
          <w:bCs/>
        </w:rPr>
      </w:pPr>
    </w:p>
    <w:p w:rsidR="0022223F" w:rsidRPr="00611D58" w:rsidRDefault="0022223F" w:rsidP="00D5566E">
      <w:pPr>
        <w:pStyle w:val="Heading3"/>
        <w:rPr>
          <w:i w:val="0"/>
          <w:iCs w:val="0"/>
        </w:rPr>
      </w:pPr>
      <w:r w:rsidRPr="00611D58">
        <w:rPr>
          <w:i w:val="0"/>
          <w:iCs w:val="0"/>
        </w:rPr>
        <w:t>Contingencies and Reserves</w:t>
      </w:r>
    </w:p>
    <w:p w:rsidR="0022223F" w:rsidRDefault="0022223F" w:rsidP="00B965AC">
      <w:pPr>
        <w:pStyle w:val="ListParagraph"/>
        <w:numPr>
          <w:ilvl w:val="0"/>
          <w:numId w:val="47"/>
        </w:numPr>
        <w:spacing w:after="240"/>
        <w:ind w:hanging="720"/>
        <w:jc w:val="both"/>
      </w:pPr>
      <w:r>
        <w:t>The contingencies are there to cover unavoidable inflation pressures for the pay award and energy inflation above 1.3% together with other unforeseen items and spending pressures and to cover areas of risk and uncertainty.  There are also specific reserves for the Medium Term Financial Strategy (MTFS) implementation costs, carry forwards, Business risks and the Transformation and Priority Initiatives Fund (TPIF). The current position is detailed in table 2 below.</w:t>
      </w:r>
    </w:p>
    <w:p w:rsidR="0022223F" w:rsidRPr="002D7BB0" w:rsidRDefault="0022223F" w:rsidP="00B965AC">
      <w:pPr>
        <w:pStyle w:val="ListParagraph"/>
        <w:numPr>
          <w:ilvl w:val="0"/>
          <w:numId w:val="47"/>
        </w:numPr>
        <w:spacing w:after="240"/>
        <w:ind w:hanging="720"/>
        <w:jc w:val="both"/>
      </w:pPr>
      <w:r w:rsidRPr="002D7BB0">
        <w:t xml:space="preserve">In June Cabinet approved carry-forwards of £4.008m which </w:t>
      </w:r>
      <w:r>
        <w:t>are now</w:t>
      </w:r>
      <w:r w:rsidRPr="002D7BB0">
        <w:t xml:space="preserve"> included within individual directorate budgets. There is also £195k in respect of grants brought forward from earlier years that will be drawn down as utilised. The main grant is Planning Development Grant.</w:t>
      </w:r>
    </w:p>
    <w:p w:rsidR="0022223F" w:rsidRDefault="0022223F" w:rsidP="00B965AC">
      <w:pPr>
        <w:pStyle w:val="ListParagraph"/>
        <w:numPr>
          <w:ilvl w:val="0"/>
          <w:numId w:val="47"/>
        </w:numPr>
        <w:spacing w:after="240"/>
        <w:ind w:hanging="720"/>
        <w:jc w:val="both"/>
      </w:pPr>
      <w:r w:rsidRPr="00737F1C">
        <w:t xml:space="preserve">The balance on the </w:t>
      </w:r>
      <w:r w:rsidRPr="00733E90">
        <w:t>Transformation and Priority Initiatives Fund (TPIF)</w:t>
      </w:r>
      <w:r>
        <w:t>brought forward from 2013/14is £3.370m.  There have been drawdowns of £100k in relation to urgent arboriculture works, £150k potholes and £30k to fund the Helping You.  £801k was added back to the fund from the in-year savings agreed at July Cabinet. This leaves a balance of £3.891m on the fund at Quarter 2.</w:t>
      </w:r>
    </w:p>
    <w:p w:rsidR="0022223F" w:rsidRDefault="0022223F" w:rsidP="00B965AC">
      <w:pPr>
        <w:pStyle w:val="ListParagraph"/>
        <w:numPr>
          <w:ilvl w:val="0"/>
          <w:numId w:val="47"/>
        </w:numPr>
        <w:spacing w:after="240"/>
        <w:ind w:hanging="720"/>
        <w:jc w:val="both"/>
      </w:pPr>
      <w:r>
        <w:t>The balance on the Business Risk reserve brought forward from 2013/14 is £2.859m.  This is intended to cover a number of commercial risks that were identified and there have been no drawdown to date.</w:t>
      </w:r>
    </w:p>
    <w:p w:rsidR="0022223F" w:rsidRDefault="0022223F" w:rsidP="00BB6F09">
      <w:pPr>
        <w:pStyle w:val="ListParagraph"/>
        <w:numPr>
          <w:ilvl w:val="0"/>
          <w:numId w:val="47"/>
        </w:numPr>
        <w:spacing w:after="240"/>
        <w:ind w:hanging="720"/>
        <w:jc w:val="both"/>
      </w:pPr>
      <w:r>
        <w:t xml:space="preserve">The balance on the MTFS Implementation reserve brought forward from 2013/14is £6.074m. A further £800k was added to the from the in-year savings agreed at July Cabinet and an additional £131k from the in-year savings agreed at November Cabinet to make £7.005m. £311k has been drawndown to Quarter 2 on demolition costs for Civic 2 (£174k), severance costs (£115k) and consultation costs (£22k) leaving a balance of £6.694m.  </w:t>
      </w:r>
    </w:p>
    <w:p w:rsidR="0022223F" w:rsidRPr="00BB6F09" w:rsidRDefault="0022223F" w:rsidP="00BB6F09">
      <w:pPr>
        <w:pStyle w:val="ListParagraph"/>
        <w:numPr>
          <w:ilvl w:val="0"/>
          <w:numId w:val="47"/>
        </w:numPr>
        <w:spacing w:after="240"/>
        <w:ind w:hanging="720"/>
        <w:jc w:val="both"/>
      </w:pPr>
      <w:r w:rsidRPr="00BB6F09">
        <w:rPr>
          <w:b/>
          <w:bCs/>
          <w:u w:val="single"/>
        </w:rPr>
        <w:t>Table 3 Contingencies and Earmarked Reserves</w:t>
      </w:r>
    </w:p>
    <w:tbl>
      <w:tblPr>
        <w:tblW w:w="6220" w:type="dxa"/>
        <w:tblInd w:w="-106" w:type="dxa"/>
        <w:tblLook w:val="00A0"/>
      </w:tblPr>
      <w:tblGrid>
        <w:gridCol w:w="972"/>
        <w:gridCol w:w="1106"/>
        <w:gridCol w:w="777"/>
        <w:gridCol w:w="649"/>
        <w:gridCol w:w="837"/>
        <w:gridCol w:w="866"/>
        <w:gridCol w:w="1310"/>
      </w:tblGrid>
      <w:tr w:rsidR="0022223F" w:rsidRPr="00E41805">
        <w:trPr>
          <w:trHeight w:val="675"/>
        </w:trPr>
        <w:tc>
          <w:tcPr>
            <w:tcW w:w="1096" w:type="dxa"/>
            <w:tcBorders>
              <w:top w:val="single" w:sz="4" w:space="0" w:color="auto"/>
              <w:left w:val="single" w:sz="4" w:space="0" w:color="auto"/>
              <w:bottom w:val="single" w:sz="4" w:space="0" w:color="auto"/>
              <w:right w:val="single" w:sz="4" w:space="0" w:color="auto"/>
            </w:tcBorders>
            <w:vAlign w:val="bottom"/>
          </w:tcPr>
          <w:p w:rsidR="0022223F" w:rsidRPr="00E41805" w:rsidRDefault="0022223F" w:rsidP="00291AA3">
            <w:pPr>
              <w:rPr>
                <w:sz w:val="16"/>
                <w:szCs w:val="16"/>
                <w:lang w:eastAsia="en-GB"/>
              </w:rPr>
            </w:pPr>
            <w:r w:rsidRPr="00E41805">
              <w:rPr>
                <w:sz w:val="16"/>
                <w:szCs w:val="16"/>
                <w:lang w:eastAsia="en-GB"/>
              </w:rPr>
              <w:t> </w:t>
            </w:r>
          </w:p>
        </w:tc>
        <w:tc>
          <w:tcPr>
            <w:tcW w:w="990" w:type="dxa"/>
            <w:tcBorders>
              <w:top w:val="single" w:sz="4" w:space="0" w:color="auto"/>
              <w:left w:val="nil"/>
              <w:bottom w:val="single" w:sz="4" w:space="0" w:color="auto"/>
              <w:right w:val="single" w:sz="4" w:space="0" w:color="auto"/>
            </w:tcBorders>
            <w:vAlign w:val="bottom"/>
          </w:tcPr>
          <w:p w:rsidR="0022223F" w:rsidRPr="00E41805" w:rsidRDefault="0022223F" w:rsidP="00291AA3">
            <w:pPr>
              <w:rPr>
                <w:sz w:val="16"/>
                <w:szCs w:val="16"/>
                <w:lang w:eastAsia="en-GB"/>
              </w:rPr>
            </w:pPr>
            <w:r w:rsidRPr="00E41805">
              <w:rPr>
                <w:sz w:val="16"/>
                <w:szCs w:val="16"/>
                <w:lang w:eastAsia="en-GB"/>
              </w:rPr>
              <w:t>Unforeseen Contingency</w:t>
            </w:r>
          </w:p>
        </w:tc>
        <w:tc>
          <w:tcPr>
            <w:tcW w:w="721" w:type="dxa"/>
            <w:tcBorders>
              <w:top w:val="single" w:sz="4" w:space="0" w:color="auto"/>
              <w:left w:val="nil"/>
              <w:bottom w:val="single" w:sz="4" w:space="0" w:color="auto"/>
              <w:right w:val="single" w:sz="4" w:space="0" w:color="auto"/>
            </w:tcBorders>
            <w:vAlign w:val="bottom"/>
          </w:tcPr>
          <w:p w:rsidR="0022223F" w:rsidRPr="00E41805" w:rsidRDefault="0022223F" w:rsidP="00291AA3">
            <w:pPr>
              <w:rPr>
                <w:sz w:val="16"/>
                <w:szCs w:val="16"/>
                <w:lang w:eastAsia="en-GB"/>
              </w:rPr>
            </w:pPr>
            <w:r w:rsidRPr="00E41805">
              <w:rPr>
                <w:sz w:val="16"/>
                <w:szCs w:val="16"/>
                <w:lang w:eastAsia="en-GB"/>
              </w:rPr>
              <w:t>Pay and Energy Inflation</w:t>
            </w:r>
          </w:p>
        </w:tc>
        <w:tc>
          <w:tcPr>
            <w:tcW w:w="649" w:type="dxa"/>
            <w:tcBorders>
              <w:top w:val="single" w:sz="4" w:space="0" w:color="auto"/>
              <w:left w:val="nil"/>
              <w:bottom w:val="single" w:sz="4" w:space="0" w:color="auto"/>
              <w:right w:val="single" w:sz="4" w:space="0" w:color="auto"/>
            </w:tcBorders>
            <w:vAlign w:val="bottom"/>
          </w:tcPr>
          <w:p w:rsidR="0022223F" w:rsidRPr="00E41805" w:rsidRDefault="0022223F" w:rsidP="00291AA3">
            <w:pPr>
              <w:rPr>
                <w:sz w:val="16"/>
                <w:szCs w:val="16"/>
                <w:lang w:eastAsia="en-GB"/>
              </w:rPr>
            </w:pPr>
            <w:r w:rsidRPr="00E41805">
              <w:rPr>
                <w:sz w:val="16"/>
                <w:szCs w:val="16"/>
                <w:lang w:eastAsia="en-GB"/>
              </w:rPr>
              <w:t>TPIF</w:t>
            </w:r>
          </w:p>
        </w:tc>
        <w:tc>
          <w:tcPr>
            <w:tcW w:w="837" w:type="dxa"/>
            <w:tcBorders>
              <w:top w:val="single" w:sz="4" w:space="0" w:color="auto"/>
              <w:left w:val="nil"/>
              <w:bottom w:val="single" w:sz="4" w:space="0" w:color="auto"/>
              <w:right w:val="single" w:sz="4" w:space="0" w:color="auto"/>
            </w:tcBorders>
            <w:vAlign w:val="bottom"/>
          </w:tcPr>
          <w:p w:rsidR="0022223F" w:rsidRPr="00E41805" w:rsidRDefault="0022223F" w:rsidP="00291AA3">
            <w:pPr>
              <w:rPr>
                <w:sz w:val="16"/>
                <w:szCs w:val="16"/>
                <w:lang w:eastAsia="en-GB"/>
              </w:rPr>
            </w:pPr>
            <w:r w:rsidRPr="00E41805">
              <w:rPr>
                <w:sz w:val="16"/>
                <w:szCs w:val="16"/>
                <w:lang w:eastAsia="en-GB"/>
              </w:rPr>
              <w:t>Carry Fwd</w:t>
            </w:r>
          </w:p>
        </w:tc>
        <w:tc>
          <w:tcPr>
            <w:tcW w:w="803" w:type="dxa"/>
            <w:tcBorders>
              <w:top w:val="single" w:sz="4" w:space="0" w:color="auto"/>
              <w:left w:val="nil"/>
              <w:bottom w:val="single" w:sz="4" w:space="0" w:color="auto"/>
              <w:right w:val="single" w:sz="4" w:space="0" w:color="auto"/>
            </w:tcBorders>
            <w:vAlign w:val="bottom"/>
          </w:tcPr>
          <w:p w:rsidR="0022223F" w:rsidRPr="00E41805" w:rsidRDefault="0022223F" w:rsidP="00291AA3">
            <w:pPr>
              <w:rPr>
                <w:sz w:val="16"/>
                <w:szCs w:val="16"/>
                <w:lang w:eastAsia="en-GB"/>
              </w:rPr>
            </w:pPr>
            <w:r w:rsidRPr="00E41805">
              <w:rPr>
                <w:sz w:val="16"/>
                <w:szCs w:val="16"/>
                <w:lang w:eastAsia="en-GB"/>
              </w:rPr>
              <w:t>Business Risk Reserve</w:t>
            </w:r>
          </w:p>
        </w:tc>
        <w:tc>
          <w:tcPr>
            <w:tcW w:w="1124" w:type="dxa"/>
            <w:tcBorders>
              <w:top w:val="single" w:sz="4" w:space="0" w:color="auto"/>
              <w:left w:val="nil"/>
              <w:bottom w:val="single" w:sz="4" w:space="0" w:color="auto"/>
              <w:right w:val="single" w:sz="4" w:space="0" w:color="auto"/>
            </w:tcBorders>
            <w:vAlign w:val="bottom"/>
          </w:tcPr>
          <w:p w:rsidR="0022223F" w:rsidRPr="00E41805" w:rsidRDefault="0022223F" w:rsidP="00291AA3">
            <w:pPr>
              <w:rPr>
                <w:sz w:val="16"/>
                <w:szCs w:val="16"/>
                <w:lang w:eastAsia="en-GB"/>
              </w:rPr>
            </w:pPr>
            <w:r w:rsidRPr="00E41805">
              <w:rPr>
                <w:sz w:val="16"/>
                <w:szCs w:val="16"/>
                <w:lang w:eastAsia="en-GB"/>
              </w:rPr>
              <w:t>MTFS Implementation</w:t>
            </w:r>
          </w:p>
        </w:tc>
      </w:tr>
      <w:tr w:rsidR="0022223F" w:rsidRPr="00E41805">
        <w:trPr>
          <w:trHeight w:val="300"/>
        </w:trPr>
        <w:tc>
          <w:tcPr>
            <w:tcW w:w="1096" w:type="dxa"/>
            <w:tcBorders>
              <w:top w:val="nil"/>
              <w:left w:val="single" w:sz="4" w:space="0" w:color="auto"/>
              <w:bottom w:val="single" w:sz="4" w:space="0" w:color="auto"/>
              <w:right w:val="single" w:sz="4" w:space="0" w:color="auto"/>
            </w:tcBorders>
            <w:vAlign w:val="bottom"/>
          </w:tcPr>
          <w:p w:rsidR="0022223F" w:rsidRPr="00E41805" w:rsidRDefault="0022223F" w:rsidP="00291AA3">
            <w:pPr>
              <w:rPr>
                <w:sz w:val="16"/>
                <w:szCs w:val="16"/>
                <w:lang w:eastAsia="en-GB"/>
              </w:rPr>
            </w:pPr>
            <w:r w:rsidRPr="00E41805">
              <w:rPr>
                <w:sz w:val="16"/>
                <w:szCs w:val="16"/>
                <w:lang w:eastAsia="en-GB"/>
              </w:rPr>
              <w:t> </w:t>
            </w:r>
          </w:p>
        </w:tc>
        <w:tc>
          <w:tcPr>
            <w:tcW w:w="990" w:type="dxa"/>
            <w:tcBorders>
              <w:top w:val="nil"/>
              <w:left w:val="nil"/>
              <w:bottom w:val="single" w:sz="4" w:space="0" w:color="auto"/>
              <w:right w:val="single" w:sz="4" w:space="0" w:color="auto"/>
            </w:tcBorders>
            <w:noWrap/>
            <w:vAlign w:val="bottom"/>
          </w:tcPr>
          <w:p w:rsidR="0022223F" w:rsidRPr="00E41805" w:rsidRDefault="0022223F" w:rsidP="00291AA3">
            <w:pPr>
              <w:jc w:val="center"/>
              <w:rPr>
                <w:sz w:val="16"/>
                <w:szCs w:val="16"/>
                <w:lang w:eastAsia="en-GB"/>
              </w:rPr>
            </w:pPr>
            <w:r w:rsidRPr="00E41805">
              <w:rPr>
                <w:sz w:val="16"/>
                <w:szCs w:val="16"/>
                <w:lang w:eastAsia="en-GB"/>
              </w:rPr>
              <w:t>£000</w:t>
            </w:r>
          </w:p>
        </w:tc>
        <w:tc>
          <w:tcPr>
            <w:tcW w:w="721" w:type="dxa"/>
            <w:tcBorders>
              <w:top w:val="nil"/>
              <w:left w:val="nil"/>
              <w:bottom w:val="single" w:sz="4" w:space="0" w:color="auto"/>
              <w:right w:val="single" w:sz="4" w:space="0" w:color="auto"/>
            </w:tcBorders>
            <w:noWrap/>
            <w:vAlign w:val="bottom"/>
          </w:tcPr>
          <w:p w:rsidR="0022223F" w:rsidRPr="00E41805" w:rsidRDefault="0022223F" w:rsidP="00291AA3">
            <w:pPr>
              <w:jc w:val="center"/>
              <w:rPr>
                <w:sz w:val="16"/>
                <w:szCs w:val="16"/>
                <w:lang w:eastAsia="en-GB"/>
              </w:rPr>
            </w:pPr>
            <w:r w:rsidRPr="00E41805">
              <w:rPr>
                <w:sz w:val="16"/>
                <w:szCs w:val="16"/>
                <w:lang w:eastAsia="en-GB"/>
              </w:rPr>
              <w:t>£000</w:t>
            </w:r>
          </w:p>
        </w:tc>
        <w:tc>
          <w:tcPr>
            <w:tcW w:w="649" w:type="dxa"/>
            <w:tcBorders>
              <w:top w:val="nil"/>
              <w:left w:val="nil"/>
              <w:bottom w:val="single" w:sz="4" w:space="0" w:color="auto"/>
              <w:right w:val="single" w:sz="4" w:space="0" w:color="auto"/>
            </w:tcBorders>
            <w:noWrap/>
            <w:vAlign w:val="bottom"/>
          </w:tcPr>
          <w:p w:rsidR="0022223F" w:rsidRPr="00E41805" w:rsidRDefault="0022223F" w:rsidP="00291AA3">
            <w:pPr>
              <w:jc w:val="center"/>
              <w:rPr>
                <w:sz w:val="16"/>
                <w:szCs w:val="16"/>
                <w:lang w:eastAsia="en-GB"/>
              </w:rPr>
            </w:pPr>
            <w:r w:rsidRPr="00E41805">
              <w:rPr>
                <w:sz w:val="16"/>
                <w:szCs w:val="16"/>
                <w:lang w:eastAsia="en-GB"/>
              </w:rPr>
              <w:t>£000</w:t>
            </w:r>
          </w:p>
        </w:tc>
        <w:tc>
          <w:tcPr>
            <w:tcW w:w="837" w:type="dxa"/>
            <w:tcBorders>
              <w:top w:val="nil"/>
              <w:left w:val="nil"/>
              <w:bottom w:val="single" w:sz="4" w:space="0" w:color="auto"/>
              <w:right w:val="single" w:sz="4" w:space="0" w:color="auto"/>
            </w:tcBorders>
            <w:noWrap/>
            <w:vAlign w:val="bottom"/>
          </w:tcPr>
          <w:p w:rsidR="0022223F" w:rsidRPr="00E41805" w:rsidRDefault="0022223F" w:rsidP="00291AA3">
            <w:pPr>
              <w:jc w:val="center"/>
              <w:rPr>
                <w:sz w:val="16"/>
                <w:szCs w:val="16"/>
                <w:lang w:eastAsia="en-GB"/>
              </w:rPr>
            </w:pPr>
            <w:r w:rsidRPr="00E41805">
              <w:rPr>
                <w:sz w:val="16"/>
                <w:szCs w:val="16"/>
                <w:lang w:eastAsia="en-GB"/>
              </w:rPr>
              <w:t>£000</w:t>
            </w:r>
          </w:p>
        </w:tc>
        <w:tc>
          <w:tcPr>
            <w:tcW w:w="803" w:type="dxa"/>
            <w:tcBorders>
              <w:top w:val="nil"/>
              <w:left w:val="nil"/>
              <w:bottom w:val="single" w:sz="4" w:space="0" w:color="auto"/>
              <w:right w:val="single" w:sz="4" w:space="0" w:color="auto"/>
            </w:tcBorders>
            <w:noWrap/>
            <w:vAlign w:val="bottom"/>
          </w:tcPr>
          <w:p w:rsidR="0022223F" w:rsidRPr="00E41805" w:rsidRDefault="0022223F" w:rsidP="00291AA3">
            <w:pPr>
              <w:jc w:val="center"/>
              <w:rPr>
                <w:sz w:val="16"/>
                <w:szCs w:val="16"/>
                <w:lang w:eastAsia="en-GB"/>
              </w:rPr>
            </w:pPr>
            <w:r w:rsidRPr="00E41805">
              <w:rPr>
                <w:sz w:val="16"/>
                <w:szCs w:val="16"/>
                <w:lang w:eastAsia="en-GB"/>
              </w:rPr>
              <w:t>£000</w:t>
            </w:r>
          </w:p>
        </w:tc>
        <w:tc>
          <w:tcPr>
            <w:tcW w:w="1124" w:type="dxa"/>
            <w:tcBorders>
              <w:top w:val="nil"/>
              <w:left w:val="nil"/>
              <w:bottom w:val="single" w:sz="4" w:space="0" w:color="auto"/>
              <w:right w:val="single" w:sz="4" w:space="0" w:color="auto"/>
            </w:tcBorders>
            <w:noWrap/>
            <w:vAlign w:val="bottom"/>
          </w:tcPr>
          <w:p w:rsidR="0022223F" w:rsidRPr="00E41805" w:rsidRDefault="0022223F" w:rsidP="00291AA3">
            <w:pPr>
              <w:jc w:val="center"/>
              <w:rPr>
                <w:sz w:val="16"/>
                <w:szCs w:val="16"/>
                <w:lang w:eastAsia="en-GB"/>
              </w:rPr>
            </w:pPr>
            <w:r w:rsidRPr="00E41805">
              <w:rPr>
                <w:sz w:val="16"/>
                <w:szCs w:val="16"/>
                <w:lang w:eastAsia="en-GB"/>
              </w:rPr>
              <w:t>£000</w:t>
            </w:r>
          </w:p>
        </w:tc>
      </w:tr>
      <w:tr w:rsidR="0022223F" w:rsidRPr="00E41805">
        <w:trPr>
          <w:trHeight w:val="450"/>
        </w:trPr>
        <w:tc>
          <w:tcPr>
            <w:tcW w:w="1096" w:type="dxa"/>
            <w:tcBorders>
              <w:top w:val="nil"/>
              <w:left w:val="single" w:sz="4" w:space="0" w:color="auto"/>
              <w:bottom w:val="single" w:sz="4" w:space="0" w:color="auto"/>
              <w:right w:val="single" w:sz="4" w:space="0" w:color="auto"/>
            </w:tcBorders>
            <w:vAlign w:val="bottom"/>
          </w:tcPr>
          <w:p w:rsidR="0022223F" w:rsidRPr="00E41805" w:rsidRDefault="0022223F" w:rsidP="00291AA3">
            <w:pPr>
              <w:rPr>
                <w:sz w:val="16"/>
                <w:szCs w:val="16"/>
                <w:lang w:eastAsia="en-GB"/>
              </w:rPr>
            </w:pPr>
            <w:r w:rsidRPr="00E41805">
              <w:rPr>
                <w:sz w:val="16"/>
                <w:szCs w:val="16"/>
                <w:lang w:eastAsia="en-GB"/>
              </w:rPr>
              <w:t>Balance at start of Year</w:t>
            </w:r>
          </w:p>
        </w:tc>
        <w:tc>
          <w:tcPr>
            <w:tcW w:w="990" w:type="dxa"/>
            <w:tcBorders>
              <w:top w:val="nil"/>
              <w:left w:val="nil"/>
              <w:bottom w:val="single" w:sz="4" w:space="0" w:color="auto"/>
              <w:right w:val="single" w:sz="4" w:space="0" w:color="auto"/>
            </w:tcBorders>
            <w:vAlign w:val="bottom"/>
          </w:tcPr>
          <w:p w:rsidR="0022223F" w:rsidRPr="00E41805" w:rsidRDefault="0022223F" w:rsidP="00291AA3">
            <w:pPr>
              <w:jc w:val="right"/>
              <w:rPr>
                <w:sz w:val="16"/>
                <w:szCs w:val="16"/>
                <w:lang w:eastAsia="en-GB"/>
              </w:rPr>
            </w:pPr>
            <w:r w:rsidRPr="00E41805">
              <w:rPr>
                <w:sz w:val="16"/>
                <w:szCs w:val="16"/>
                <w:lang w:eastAsia="en-GB"/>
              </w:rPr>
              <w:t>921</w:t>
            </w:r>
          </w:p>
        </w:tc>
        <w:tc>
          <w:tcPr>
            <w:tcW w:w="721" w:type="dxa"/>
            <w:tcBorders>
              <w:top w:val="nil"/>
              <w:left w:val="nil"/>
              <w:bottom w:val="single" w:sz="4" w:space="0" w:color="auto"/>
              <w:right w:val="single" w:sz="4" w:space="0" w:color="auto"/>
            </w:tcBorders>
            <w:noWrap/>
            <w:vAlign w:val="bottom"/>
          </w:tcPr>
          <w:p w:rsidR="0022223F" w:rsidRPr="00E41805" w:rsidRDefault="0022223F" w:rsidP="00291AA3">
            <w:pPr>
              <w:jc w:val="right"/>
              <w:rPr>
                <w:sz w:val="16"/>
                <w:szCs w:val="16"/>
                <w:lang w:eastAsia="en-GB"/>
              </w:rPr>
            </w:pPr>
            <w:r w:rsidRPr="00E41805">
              <w:rPr>
                <w:sz w:val="16"/>
                <w:szCs w:val="16"/>
                <w:lang w:eastAsia="en-GB"/>
              </w:rPr>
              <w:t>1,400</w:t>
            </w:r>
          </w:p>
        </w:tc>
        <w:tc>
          <w:tcPr>
            <w:tcW w:w="649" w:type="dxa"/>
            <w:tcBorders>
              <w:top w:val="nil"/>
              <w:left w:val="nil"/>
              <w:bottom w:val="single" w:sz="4" w:space="0" w:color="auto"/>
              <w:right w:val="single" w:sz="4" w:space="0" w:color="auto"/>
            </w:tcBorders>
            <w:noWrap/>
            <w:vAlign w:val="bottom"/>
          </w:tcPr>
          <w:p w:rsidR="0022223F" w:rsidRPr="00E41805" w:rsidRDefault="0022223F" w:rsidP="00291AA3">
            <w:pPr>
              <w:jc w:val="right"/>
              <w:rPr>
                <w:sz w:val="16"/>
                <w:szCs w:val="16"/>
                <w:lang w:eastAsia="en-GB"/>
              </w:rPr>
            </w:pPr>
            <w:r w:rsidRPr="00E41805">
              <w:rPr>
                <w:sz w:val="16"/>
                <w:szCs w:val="16"/>
                <w:lang w:eastAsia="en-GB"/>
              </w:rPr>
              <w:t>370</w:t>
            </w:r>
          </w:p>
        </w:tc>
        <w:tc>
          <w:tcPr>
            <w:tcW w:w="837" w:type="dxa"/>
            <w:tcBorders>
              <w:top w:val="nil"/>
              <w:left w:val="nil"/>
              <w:bottom w:val="single" w:sz="4" w:space="0" w:color="auto"/>
              <w:right w:val="single" w:sz="4" w:space="0" w:color="auto"/>
            </w:tcBorders>
            <w:noWrap/>
            <w:vAlign w:val="bottom"/>
          </w:tcPr>
          <w:p w:rsidR="0022223F" w:rsidRPr="00E41805" w:rsidRDefault="0022223F" w:rsidP="00291AA3">
            <w:pPr>
              <w:jc w:val="right"/>
              <w:rPr>
                <w:sz w:val="16"/>
                <w:szCs w:val="16"/>
                <w:lang w:eastAsia="en-GB"/>
              </w:rPr>
            </w:pPr>
            <w:r w:rsidRPr="00E41805">
              <w:rPr>
                <w:sz w:val="16"/>
                <w:szCs w:val="16"/>
                <w:lang w:eastAsia="en-GB"/>
              </w:rPr>
              <w:t>4,203</w:t>
            </w:r>
          </w:p>
        </w:tc>
        <w:tc>
          <w:tcPr>
            <w:tcW w:w="803" w:type="dxa"/>
            <w:tcBorders>
              <w:top w:val="nil"/>
              <w:left w:val="nil"/>
              <w:bottom w:val="single" w:sz="4" w:space="0" w:color="auto"/>
              <w:right w:val="single" w:sz="4" w:space="0" w:color="auto"/>
            </w:tcBorders>
            <w:noWrap/>
            <w:vAlign w:val="bottom"/>
          </w:tcPr>
          <w:p w:rsidR="0022223F" w:rsidRPr="00E41805" w:rsidRDefault="0022223F" w:rsidP="00291AA3">
            <w:pPr>
              <w:jc w:val="right"/>
              <w:rPr>
                <w:sz w:val="16"/>
                <w:szCs w:val="16"/>
                <w:lang w:eastAsia="en-GB"/>
              </w:rPr>
            </w:pPr>
            <w:r w:rsidRPr="00E41805">
              <w:rPr>
                <w:sz w:val="16"/>
                <w:szCs w:val="16"/>
                <w:lang w:eastAsia="en-GB"/>
              </w:rPr>
              <w:t>859</w:t>
            </w:r>
          </w:p>
        </w:tc>
        <w:tc>
          <w:tcPr>
            <w:tcW w:w="1124" w:type="dxa"/>
            <w:tcBorders>
              <w:top w:val="nil"/>
              <w:left w:val="nil"/>
              <w:bottom w:val="single" w:sz="4" w:space="0" w:color="auto"/>
              <w:right w:val="single" w:sz="4" w:space="0" w:color="auto"/>
            </w:tcBorders>
            <w:noWrap/>
            <w:vAlign w:val="bottom"/>
          </w:tcPr>
          <w:p w:rsidR="0022223F" w:rsidRPr="00E41805" w:rsidRDefault="0022223F" w:rsidP="00291AA3">
            <w:pPr>
              <w:jc w:val="right"/>
              <w:rPr>
                <w:sz w:val="16"/>
                <w:szCs w:val="16"/>
                <w:lang w:eastAsia="en-GB"/>
              </w:rPr>
            </w:pPr>
            <w:r w:rsidRPr="00E41805">
              <w:rPr>
                <w:sz w:val="16"/>
                <w:szCs w:val="16"/>
                <w:lang w:eastAsia="en-GB"/>
              </w:rPr>
              <w:t>3,278</w:t>
            </w:r>
          </w:p>
        </w:tc>
      </w:tr>
      <w:tr w:rsidR="0022223F" w:rsidRPr="00E41805">
        <w:trPr>
          <w:trHeight w:val="450"/>
        </w:trPr>
        <w:tc>
          <w:tcPr>
            <w:tcW w:w="1096" w:type="dxa"/>
            <w:tcBorders>
              <w:top w:val="nil"/>
              <w:left w:val="single" w:sz="4" w:space="0" w:color="auto"/>
              <w:bottom w:val="single" w:sz="4" w:space="0" w:color="auto"/>
              <w:right w:val="single" w:sz="4" w:space="0" w:color="auto"/>
            </w:tcBorders>
            <w:vAlign w:val="bottom"/>
          </w:tcPr>
          <w:p w:rsidR="0022223F" w:rsidRPr="00E41805" w:rsidRDefault="0022223F" w:rsidP="00291AA3">
            <w:pPr>
              <w:rPr>
                <w:sz w:val="16"/>
                <w:szCs w:val="16"/>
                <w:lang w:eastAsia="en-GB"/>
              </w:rPr>
            </w:pPr>
            <w:r w:rsidRPr="00E41805">
              <w:rPr>
                <w:sz w:val="16"/>
                <w:szCs w:val="16"/>
                <w:lang w:eastAsia="en-GB"/>
              </w:rPr>
              <w:t>Addition June Cabinet</w:t>
            </w:r>
          </w:p>
        </w:tc>
        <w:tc>
          <w:tcPr>
            <w:tcW w:w="990" w:type="dxa"/>
            <w:tcBorders>
              <w:top w:val="nil"/>
              <w:left w:val="nil"/>
              <w:bottom w:val="single" w:sz="4" w:space="0" w:color="auto"/>
              <w:right w:val="single" w:sz="4" w:space="0" w:color="auto"/>
            </w:tcBorders>
            <w:vAlign w:val="bottom"/>
          </w:tcPr>
          <w:p w:rsidR="0022223F" w:rsidRPr="00E41805" w:rsidRDefault="0022223F" w:rsidP="00291AA3">
            <w:pPr>
              <w:rPr>
                <w:sz w:val="16"/>
                <w:szCs w:val="16"/>
                <w:lang w:eastAsia="en-GB"/>
              </w:rPr>
            </w:pPr>
            <w:r w:rsidRPr="00E41805">
              <w:rPr>
                <w:sz w:val="16"/>
                <w:szCs w:val="16"/>
                <w:lang w:eastAsia="en-GB"/>
              </w:rPr>
              <w:t> </w:t>
            </w:r>
          </w:p>
        </w:tc>
        <w:tc>
          <w:tcPr>
            <w:tcW w:w="721" w:type="dxa"/>
            <w:tcBorders>
              <w:top w:val="nil"/>
              <w:left w:val="nil"/>
              <w:bottom w:val="single" w:sz="4" w:space="0" w:color="auto"/>
              <w:right w:val="single" w:sz="4" w:space="0" w:color="auto"/>
            </w:tcBorders>
            <w:noWrap/>
            <w:vAlign w:val="bottom"/>
          </w:tcPr>
          <w:p w:rsidR="0022223F" w:rsidRPr="00E41805" w:rsidRDefault="0022223F" w:rsidP="00291AA3">
            <w:pPr>
              <w:rPr>
                <w:sz w:val="16"/>
                <w:szCs w:val="16"/>
                <w:lang w:eastAsia="en-GB"/>
              </w:rPr>
            </w:pPr>
            <w:r w:rsidRPr="00E41805">
              <w:rPr>
                <w:sz w:val="16"/>
                <w:szCs w:val="16"/>
                <w:lang w:eastAsia="en-GB"/>
              </w:rPr>
              <w:t> </w:t>
            </w:r>
          </w:p>
        </w:tc>
        <w:tc>
          <w:tcPr>
            <w:tcW w:w="649" w:type="dxa"/>
            <w:tcBorders>
              <w:top w:val="nil"/>
              <w:left w:val="nil"/>
              <w:bottom w:val="single" w:sz="4" w:space="0" w:color="auto"/>
              <w:right w:val="single" w:sz="4" w:space="0" w:color="auto"/>
            </w:tcBorders>
            <w:noWrap/>
            <w:vAlign w:val="bottom"/>
          </w:tcPr>
          <w:p w:rsidR="0022223F" w:rsidRPr="00E41805" w:rsidRDefault="0022223F" w:rsidP="00291AA3">
            <w:pPr>
              <w:jc w:val="right"/>
              <w:rPr>
                <w:sz w:val="16"/>
                <w:szCs w:val="16"/>
                <w:lang w:eastAsia="en-GB"/>
              </w:rPr>
            </w:pPr>
            <w:r w:rsidRPr="00E41805">
              <w:rPr>
                <w:sz w:val="16"/>
                <w:szCs w:val="16"/>
                <w:lang w:eastAsia="en-GB"/>
              </w:rPr>
              <w:t>3,000</w:t>
            </w:r>
          </w:p>
        </w:tc>
        <w:tc>
          <w:tcPr>
            <w:tcW w:w="837" w:type="dxa"/>
            <w:tcBorders>
              <w:top w:val="nil"/>
              <w:left w:val="nil"/>
              <w:bottom w:val="single" w:sz="4" w:space="0" w:color="auto"/>
              <w:right w:val="single" w:sz="4" w:space="0" w:color="auto"/>
            </w:tcBorders>
            <w:noWrap/>
            <w:vAlign w:val="bottom"/>
          </w:tcPr>
          <w:p w:rsidR="0022223F" w:rsidRPr="00E41805" w:rsidRDefault="0022223F" w:rsidP="00291AA3">
            <w:pPr>
              <w:rPr>
                <w:sz w:val="16"/>
                <w:szCs w:val="16"/>
                <w:lang w:eastAsia="en-GB"/>
              </w:rPr>
            </w:pPr>
            <w:r w:rsidRPr="00E41805">
              <w:rPr>
                <w:sz w:val="16"/>
                <w:szCs w:val="16"/>
                <w:lang w:eastAsia="en-GB"/>
              </w:rPr>
              <w:t> </w:t>
            </w:r>
          </w:p>
        </w:tc>
        <w:tc>
          <w:tcPr>
            <w:tcW w:w="803" w:type="dxa"/>
            <w:tcBorders>
              <w:top w:val="nil"/>
              <w:left w:val="nil"/>
              <w:bottom w:val="single" w:sz="4" w:space="0" w:color="auto"/>
              <w:right w:val="single" w:sz="4" w:space="0" w:color="auto"/>
            </w:tcBorders>
            <w:noWrap/>
            <w:vAlign w:val="bottom"/>
          </w:tcPr>
          <w:p w:rsidR="0022223F" w:rsidRPr="00E41805" w:rsidRDefault="0022223F" w:rsidP="00291AA3">
            <w:pPr>
              <w:jc w:val="right"/>
              <w:rPr>
                <w:sz w:val="16"/>
                <w:szCs w:val="16"/>
                <w:lang w:eastAsia="en-GB"/>
              </w:rPr>
            </w:pPr>
            <w:r w:rsidRPr="00E41805">
              <w:rPr>
                <w:sz w:val="16"/>
                <w:szCs w:val="16"/>
                <w:lang w:eastAsia="en-GB"/>
              </w:rPr>
              <w:t>2,000</w:t>
            </w:r>
          </w:p>
        </w:tc>
        <w:tc>
          <w:tcPr>
            <w:tcW w:w="1124" w:type="dxa"/>
            <w:tcBorders>
              <w:top w:val="nil"/>
              <w:left w:val="nil"/>
              <w:bottom w:val="single" w:sz="4" w:space="0" w:color="auto"/>
              <w:right w:val="single" w:sz="4" w:space="0" w:color="auto"/>
            </w:tcBorders>
            <w:noWrap/>
            <w:vAlign w:val="bottom"/>
          </w:tcPr>
          <w:p w:rsidR="0022223F" w:rsidRPr="00E41805" w:rsidRDefault="0022223F" w:rsidP="00291AA3">
            <w:pPr>
              <w:jc w:val="right"/>
              <w:rPr>
                <w:sz w:val="16"/>
                <w:szCs w:val="16"/>
                <w:lang w:eastAsia="en-GB"/>
              </w:rPr>
            </w:pPr>
            <w:r w:rsidRPr="00E41805">
              <w:rPr>
                <w:sz w:val="16"/>
                <w:szCs w:val="16"/>
                <w:lang w:eastAsia="en-GB"/>
              </w:rPr>
              <w:t>2,796</w:t>
            </w:r>
          </w:p>
        </w:tc>
      </w:tr>
      <w:tr w:rsidR="0022223F" w:rsidRPr="00E41805">
        <w:trPr>
          <w:trHeight w:val="450"/>
        </w:trPr>
        <w:tc>
          <w:tcPr>
            <w:tcW w:w="1096" w:type="dxa"/>
            <w:tcBorders>
              <w:top w:val="nil"/>
              <w:left w:val="single" w:sz="4" w:space="0" w:color="auto"/>
              <w:bottom w:val="single" w:sz="4" w:space="0" w:color="auto"/>
              <w:right w:val="single" w:sz="4" w:space="0" w:color="auto"/>
            </w:tcBorders>
            <w:vAlign w:val="bottom"/>
          </w:tcPr>
          <w:p w:rsidR="0022223F" w:rsidRPr="00E41805" w:rsidRDefault="0022223F" w:rsidP="00291AA3">
            <w:pPr>
              <w:rPr>
                <w:sz w:val="16"/>
                <w:szCs w:val="16"/>
                <w:lang w:eastAsia="en-GB"/>
              </w:rPr>
            </w:pPr>
            <w:r w:rsidRPr="00E41805">
              <w:rPr>
                <w:sz w:val="16"/>
                <w:szCs w:val="16"/>
                <w:lang w:eastAsia="en-GB"/>
              </w:rPr>
              <w:t>Addition July Cabinet</w:t>
            </w:r>
          </w:p>
        </w:tc>
        <w:tc>
          <w:tcPr>
            <w:tcW w:w="990" w:type="dxa"/>
            <w:tcBorders>
              <w:top w:val="nil"/>
              <w:left w:val="nil"/>
              <w:bottom w:val="single" w:sz="4" w:space="0" w:color="auto"/>
              <w:right w:val="single" w:sz="4" w:space="0" w:color="auto"/>
            </w:tcBorders>
            <w:vAlign w:val="bottom"/>
          </w:tcPr>
          <w:p w:rsidR="0022223F" w:rsidRPr="00E41805" w:rsidRDefault="0022223F" w:rsidP="00291AA3">
            <w:pPr>
              <w:rPr>
                <w:sz w:val="16"/>
                <w:szCs w:val="16"/>
                <w:lang w:eastAsia="en-GB"/>
              </w:rPr>
            </w:pPr>
            <w:r w:rsidRPr="00E41805">
              <w:rPr>
                <w:sz w:val="16"/>
                <w:szCs w:val="16"/>
                <w:lang w:eastAsia="en-GB"/>
              </w:rPr>
              <w:t> </w:t>
            </w:r>
          </w:p>
        </w:tc>
        <w:tc>
          <w:tcPr>
            <w:tcW w:w="721" w:type="dxa"/>
            <w:tcBorders>
              <w:top w:val="nil"/>
              <w:left w:val="nil"/>
              <w:bottom w:val="single" w:sz="4" w:space="0" w:color="auto"/>
              <w:right w:val="single" w:sz="4" w:space="0" w:color="auto"/>
            </w:tcBorders>
            <w:noWrap/>
            <w:vAlign w:val="bottom"/>
          </w:tcPr>
          <w:p w:rsidR="0022223F" w:rsidRPr="00E41805" w:rsidRDefault="0022223F" w:rsidP="00291AA3">
            <w:pPr>
              <w:rPr>
                <w:sz w:val="16"/>
                <w:szCs w:val="16"/>
                <w:lang w:eastAsia="en-GB"/>
              </w:rPr>
            </w:pPr>
            <w:r w:rsidRPr="00E41805">
              <w:rPr>
                <w:sz w:val="16"/>
                <w:szCs w:val="16"/>
                <w:lang w:eastAsia="en-GB"/>
              </w:rPr>
              <w:t> </w:t>
            </w:r>
          </w:p>
        </w:tc>
        <w:tc>
          <w:tcPr>
            <w:tcW w:w="649" w:type="dxa"/>
            <w:tcBorders>
              <w:top w:val="nil"/>
              <w:left w:val="nil"/>
              <w:bottom w:val="single" w:sz="4" w:space="0" w:color="auto"/>
              <w:right w:val="single" w:sz="4" w:space="0" w:color="auto"/>
            </w:tcBorders>
            <w:noWrap/>
            <w:vAlign w:val="bottom"/>
          </w:tcPr>
          <w:p w:rsidR="0022223F" w:rsidRPr="00E41805" w:rsidRDefault="0022223F" w:rsidP="00291AA3">
            <w:pPr>
              <w:jc w:val="right"/>
              <w:rPr>
                <w:sz w:val="16"/>
                <w:szCs w:val="16"/>
                <w:lang w:eastAsia="en-GB"/>
              </w:rPr>
            </w:pPr>
            <w:r w:rsidRPr="00E41805">
              <w:rPr>
                <w:sz w:val="16"/>
                <w:szCs w:val="16"/>
                <w:lang w:eastAsia="en-GB"/>
              </w:rPr>
              <w:t>801</w:t>
            </w:r>
          </w:p>
        </w:tc>
        <w:tc>
          <w:tcPr>
            <w:tcW w:w="837" w:type="dxa"/>
            <w:tcBorders>
              <w:top w:val="nil"/>
              <w:left w:val="nil"/>
              <w:bottom w:val="single" w:sz="4" w:space="0" w:color="auto"/>
              <w:right w:val="single" w:sz="4" w:space="0" w:color="auto"/>
            </w:tcBorders>
            <w:noWrap/>
            <w:vAlign w:val="bottom"/>
          </w:tcPr>
          <w:p w:rsidR="0022223F" w:rsidRPr="00E41805" w:rsidRDefault="0022223F" w:rsidP="00291AA3">
            <w:pPr>
              <w:rPr>
                <w:sz w:val="16"/>
                <w:szCs w:val="16"/>
                <w:lang w:eastAsia="en-GB"/>
              </w:rPr>
            </w:pPr>
            <w:r w:rsidRPr="00E41805">
              <w:rPr>
                <w:sz w:val="16"/>
                <w:szCs w:val="16"/>
                <w:lang w:eastAsia="en-GB"/>
              </w:rPr>
              <w:t> </w:t>
            </w:r>
          </w:p>
        </w:tc>
        <w:tc>
          <w:tcPr>
            <w:tcW w:w="803" w:type="dxa"/>
            <w:tcBorders>
              <w:top w:val="nil"/>
              <w:left w:val="nil"/>
              <w:bottom w:val="single" w:sz="4" w:space="0" w:color="auto"/>
              <w:right w:val="single" w:sz="4" w:space="0" w:color="auto"/>
            </w:tcBorders>
            <w:noWrap/>
            <w:vAlign w:val="bottom"/>
          </w:tcPr>
          <w:p w:rsidR="0022223F" w:rsidRPr="00E41805" w:rsidRDefault="0022223F" w:rsidP="00291AA3">
            <w:pPr>
              <w:rPr>
                <w:sz w:val="16"/>
                <w:szCs w:val="16"/>
                <w:lang w:eastAsia="en-GB"/>
              </w:rPr>
            </w:pPr>
            <w:r w:rsidRPr="00E41805">
              <w:rPr>
                <w:sz w:val="16"/>
                <w:szCs w:val="16"/>
                <w:lang w:eastAsia="en-GB"/>
              </w:rPr>
              <w:t> </w:t>
            </w:r>
          </w:p>
        </w:tc>
        <w:tc>
          <w:tcPr>
            <w:tcW w:w="1124" w:type="dxa"/>
            <w:tcBorders>
              <w:top w:val="nil"/>
              <w:left w:val="nil"/>
              <w:bottom w:val="single" w:sz="4" w:space="0" w:color="auto"/>
              <w:right w:val="single" w:sz="4" w:space="0" w:color="auto"/>
            </w:tcBorders>
            <w:noWrap/>
            <w:vAlign w:val="bottom"/>
          </w:tcPr>
          <w:p w:rsidR="0022223F" w:rsidRPr="00E41805" w:rsidRDefault="0022223F" w:rsidP="00291AA3">
            <w:pPr>
              <w:jc w:val="right"/>
              <w:rPr>
                <w:sz w:val="16"/>
                <w:szCs w:val="16"/>
                <w:lang w:eastAsia="en-GB"/>
              </w:rPr>
            </w:pPr>
            <w:r>
              <w:rPr>
                <w:sz w:val="16"/>
                <w:szCs w:val="16"/>
                <w:lang w:eastAsia="en-GB"/>
              </w:rPr>
              <w:t>931</w:t>
            </w:r>
          </w:p>
        </w:tc>
      </w:tr>
      <w:tr w:rsidR="0022223F" w:rsidRPr="00E41805">
        <w:trPr>
          <w:trHeight w:val="300"/>
        </w:trPr>
        <w:tc>
          <w:tcPr>
            <w:tcW w:w="1096" w:type="dxa"/>
            <w:tcBorders>
              <w:top w:val="nil"/>
              <w:left w:val="single" w:sz="4" w:space="0" w:color="auto"/>
              <w:bottom w:val="single" w:sz="4" w:space="0" w:color="auto"/>
              <w:right w:val="single" w:sz="4" w:space="0" w:color="auto"/>
            </w:tcBorders>
            <w:vAlign w:val="bottom"/>
          </w:tcPr>
          <w:p w:rsidR="0022223F" w:rsidRPr="00E41805" w:rsidRDefault="0022223F" w:rsidP="00291AA3">
            <w:pPr>
              <w:rPr>
                <w:sz w:val="16"/>
                <w:szCs w:val="16"/>
                <w:lang w:eastAsia="en-GB"/>
              </w:rPr>
            </w:pPr>
            <w:r w:rsidRPr="00E41805">
              <w:rPr>
                <w:sz w:val="16"/>
                <w:szCs w:val="16"/>
                <w:lang w:eastAsia="en-GB"/>
              </w:rPr>
              <w:t>Drawdown</w:t>
            </w:r>
          </w:p>
        </w:tc>
        <w:tc>
          <w:tcPr>
            <w:tcW w:w="990" w:type="dxa"/>
            <w:tcBorders>
              <w:top w:val="nil"/>
              <w:left w:val="nil"/>
              <w:bottom w:val="single" w:sz="4" w:space="0" w:color="auto"/>
              <w:right w:val="single" w:sz="4" w:space="0" w:color="auto"/>
            </w:tcBorders>
            <w:shd w:val="clear" w:color="000000" w:fill="FFFFFF"/>
            <w:vAlign w:val="bottom"/>
          </w:tcPr>
          <w:p w:rsidR="0022223F" w:rsidRPr="00E41805" w:rsidRDefault="0022223F" w:rsidP="00291AA3">
            <w:pPr>
              <w:jc w:val="right"/>
              <w:rPr>
                <w:sz w:val="16"/>
                <w:szCs w:val="16"/>
                <w:lang w:eastAsia="en-GB"/>
              </w:rPr>
            </w:pPr>
            <w:r w:rsidRPr="00E41805">
              <w:rPr>
                <w:sz w:val="16"/>
                <w:szCs w:val="16"/>
                <w:lang w:eastAsia="en-GB"/>
              </w:rPr>
              <w:t>0</w:t>
            </w:r>
          </w:p>
        </w:tc>
        <w:tc>
          <w:tcPr>
            <w:tcW w:w="721" w:type="dxa"/>
            <w:tcBorders>
              <w:top w:val="nil"/>
              <w:left w:val="nil"/>
              <w:bottom w:val="single" w:sz="4" w:space="0" w:color="auto"/>
              <w:right w:val="single" w:sz="4" w:space="0" w:color="auto"/>
            </w:tcBorders>
            <w:noWrap/>
            <w:vAlign w:val="bottom"/>
          </w:tcPr>
          <w:p w:rsidR="0022223F" w:rsidRPr="00E41805" w:rsidRDefault="0022223F" w:rsidP="00291AA3">
            <w:pPr>
              <w:rPr>
                <w:sz w:val="16"/>
                <w:szCs w:val="16"/>
                <w:lang w:eastAsia="en-GB"/>
              </w:rPr>
            </w:pPr>
            <w:r w:rsidRPr="00E41805">
              <w:rPr>
                <w:sz w:val="16"/>
                <w:szCs w:val="16"/>
                <w:lang w:eastAsia="en-GB"/>
              </w:rPr>
              <w:t> </w:t>
            </w:r>
            <w:r>
              <w:rPr>
                <w:sz w:val="16"/>
                <w:szCs w:val="16"/>
                <w:lang w:eastAsia="en-GB"/>
              </w:rPr>
              <w:t>*</w:t>
            </w:r>
          </w:p>
        </w:tc>
        <w:tc>
          <w:tcPr>
            <w:tcW w:w="649" w:type="dxa"/>
            <w:tcBorders>
              <w:top w:val="nil"/>
              <w:left w:val="nil"/>
              <w:bottom w:val="single" w:sz="4" w:space="0" w:color="auto"/>
              <w:right w:val="single" w:sz="4" w:space="0" w:color="auto"/>
            </w:tcBorders>
            <w:noWrap/>
            <w:vAlign w:val="bottom"/>
          </w:tcPr>
          <w:p w:rsidR="0022223F" w:rsidRPr="00E41805" w:rsidRDefault="0022223F" w:rsidP="00291AA3">
            <w:pPr>
              <w:jc w:val="right"/>
              <w:rPr>
                <w:sz w:val="16"/>
                <w:szCs w:val="16"/>
                <w:lang w:eastAsia="en-GB"/>
              </w:rPr>
            </w:pPr>
            <w:r w:rsidRPr="00E41805">
              <w:rPr>
                <w:sz w:val="16"/>
                <w:szCs w:val="16"/>
                <w:lang w:eastAsia="en-GB"/>
              </w:rPr>
              <w:t>(280)</w:t>
            </w:r>
          </w:p>
        </w:tc>
        <w:tc>
          <w:tcPr>
            <w:tcW w:w="837" w:type="dxa"/>
            <w:tcBorders>
              <w:top w:val="nil"/>
              <w:left w:val="nil"/>
              <w:bottom w:val="single" w:sz="4" w:space="0" w:color="auto"/>
              <w:right w:val="single" w:sz="4" w:space="0" w:color="auto"/>
            </w:tcBorders>
            <w:noWrap/>
            <w:vAlign w:val="bottom"/>
          </w:tcPr>
          <w:p w:rsidR="0022223F" w:rsidRPr="00E41805" w:rsidRDefault="0022223F" w:rsidP="00291AA3">
            <w:pPr>
              <w:jc w:val="right"/>
              <w:rPr>
                <w:sz w:val="16"/>
                <w:szCs w:val="16"/>
                <w:lang w:eastAsia="en-GB"/>
              </w:rPr>
            </w:pPr>
            <w:r w:rsidRPr="00E41805">
              <w:rPr>
                <w:sz w:val="16"/>
                <w:szCs w:val="16"/>
                <w:lang w:eastAsia="en-GB"/>
              </w:rPr>
              <w:t>(4,008)</w:t>
            </w:r>
          </w:p>
        </w:tc>
        <w:tc>
          <w:tcPr>
            <w:tcW w:w="803" w:type="dxa"/>
            <w:tcBorders>
              <w:top w:val="nil"/>
              <w:left w:val="nil"/>
              <w:bottom w:val="single" w:sz="4" w:space="0" w:color="auto"/>
              <w:right w:val="single" w:sz="4" w:space="0" w:color="auto"/>
            </w:tcBorders>
            <w:noWrap/>
            <w:vAlign w:val="bottom"/>
          </w:tcPr>
          <w:p w:rsidR="0022223F" w:rsidRPr="00E41805" w:rsidRDefault="0022223F" w:rsidP="00291AA3">
            <w:pPr>
              <w:rPr>
                <w:sz w:val="16"/>
                <w:szCs w:val="16"/>
                <w:lang w:eastAsia="en-GB"/>
              </w:rPr>
            </w:pPr>
            <w:r w:rsidRPr="00E41805">
              <w:rPr>
                <w:sz w:val="16"/>
                <w:szCs w:val="16"/>
                <w:lang w:eastAsia="en-GB"/>
              </w:rPr>
              <w:t> </w:t>
            </w:r>
          </w:p>
        </w:tc>
        <w:tc>
          <w:tcPr>
            <w:tcW w:w="1124" w:type="dxa"/>
            <w:tcBorders>
              <w:top w:val="nil"/>
              <w:left w:val="nil"/>
              <w:bottom w:val="single" w:sz="4" w:space="0" w:color="auto"/>
              <w:right w:val="single" w:sz="4" w:space="0" w:color="auto"/>
            </w:tcBorders>
            <w:noWrap/>
            <w:vAlign w:val="bottom"/>
          </w:tcPr>
          <w:p w:rsidR="0022223F" w:rsidRPr="00E41805" w:rsidRDefault="0022223F" w:rsidP="00291AA3">
            <w:pPr>
              <w:jc w:val="right"/>
              <w:rPr>
                <w:sz w:val="16"/>
                <w:szCs w:val="16"/>
                <w:lang w:eastAsia="en-GB"/>
              </w:rPr>
            </w:pPr>
            <w:r w:rsidRPr="00E41805">
              <w:rPr>
                <w:sz w:val="16"/>
                <w:szCs w:val="16"/>
                <w:lang w:eastAsia="en-GB"/>
              </w:rPr>
              <w:t>(</w:t>
            </w:r>
            <w:r>
              <w:rPr>
                <w:sz w:val="16"/>
                <w:szCs w:val="16"/>
                <w:lang w:eastAsia="en-GB"/>
              </w:rPr>
              <w:t>311</w:t>
            </w:r>
            <w:r w:rsidRPr="00E41805">
              <w:rPr>
                <w:sz w:val="16"/>
                <w:szCs w:val="16"/>
                <w:lang w:eastAsia="en-GB"/>
              </w:rPr>
              <w:t>)</w:t>
            </w:r>
          </w:p>
        </w:tc>
      </w:tr>
      <w:tr w:rsidR="0022223F" w:rsidRPr="00E41805">
        <w:trPr>
          <w:trHeight w:val="300"/>
        </w:trPr>
        <w:tc>
          <w:tcPr>
            <w:tcW w:w="1096" w:type="dxa"/>
            <w:tcBorders>
              <w:top w:val="nil"/>
              <w:left w:val="single" w:sz="4" w:space="0" w:color="auto"/>
              <w:bottom w:val="single" w:sz="4" w:space="0" w:color="auto"/>
              <w:right w:val="single" w:sz="4" w:space="0" w:color="auto"/>
            </w:tcBorders>
            <w:vAlign w:val="bottom"/>
          </w:tcPr>
          <w:p w:rsidR="0022223F" w:rsidRPr="00E41805" w:rsidRDefault="0022223F" w:rsidP="00291AA3">
            <w:pPr>
              <w:rPr>
                <w:b/>
                <w:bCs/>
                <w:sz w:val="16"/>
                <w:szCs w:val="16"/>
                <w:lang w:eastAsia="en-GB"/>
              </w:rPr>
            </w:pPr>
            <w:r w:rsidRPr="00E41805">
              <w:rPr>
                <w:b/>
                <w:bCs/>
                <w:sz w:val="16"/>
                <w:szCs w:val="16"/>
                <w:lang w:eastAsia="en-GB"/>
              </w:rPr>
              <w:t>Balance</w:t>
            </w:r>
          </w:p>
        </w:tc>
        <w:tc>
          <w:tcPr>
            <w:tcW w:w="990" w:type="dxa"/>
            <w:tcBorders>
              <w:top w:val="nil"/>
              <w:left w:val="nil"/>
              <w:bottom w:val="single" w:sz="4" w:space="0" w:color="auto"/>
              <w:right w:val="single" w:sz="4" w:space="0" w:color="auto"/>
            </w:tcBorders>
            <w:noWrap/>
            <w:vAlign w:val="bottom"/>
          </w:tcPr>
          <w:p w:rsidR="0022223F" w:rsidRPr="00E41805" w:rsidRDefault="0022223F" w:rsidP="00291AA3">
            <w:pPr>
              <w:jc w:val="right"/>
              <w:rPr>
                <w:b/>
                <w:bCs/>
                <w:sz w:val="16"/>
                <w:szCs w:val="16"/>
                <w:lang w:eastAsia="en-GB"/>
              </w:rPr>
            </w:pPr>
            <w:r w:rsidRPr="00E41805">
              <w:rPr>
                <w:b/>
                <w:bCs/>
                <w:sz w:val="16"/>
                <w:szCs w:val="16"/>
                <w:lang w:eastAsia="en-GB"/>
              </w:rPr>
              <w:t>921</w:t>
            </w:r>
          </w:p>
        </w:tc>
        <w:tc>
          <w:tcPr>
            <w:tcW w:w="721" w:type="dxa"/>
            <w:tcBorders>
              <w:top w:val="nil"/>
              <w:left w:val="nil"/>
              <w:bottom w:val="single" w:sz="4" w:space="0" w:color="auto"/>
              <w:right w:val="single" w:sz="4" w:space="0" w:color="auto"/>
            </w:tcBorders>
            <w:noWrap/>
            <w:vAlign w:val="bottom"/>
          </w:tcPr>
          <w:p w:rsidR="0022223F" w:rsidRPr="00E41805" w:rsidRDefault="0022223F" w:rsidP="00291AA3">
            <w:pPr>
              <w:jc w:val="right"/>
              <w:rPr>
                <w:b/>
                <w:bCs/>
                <w:sz w:val="16"/>
                <w:szCs w:val="16"/>
                <w:lang w:eastAsia="en-GB"/>
              </w:rPr>
            </w:pPr>
            <w:r w:rsidRPr="00E41805">
              <w:rPr>
                <w:b/>
                <w:bCs/>
                <w:sz w:val="16"/>
                <w:szCs w:val="16"/>
                <w:lang w:eastAsia="en-GB"/>
              </w:rPr>
              <w:t>1,400</w:t>
            </w:r>
          </w:p>
        </w:tc>
        <w:tc>
          <w:tcPr>
            <w:tcW w:w="649" w:type="dxa"/>
            <w:tcBorders>
              <w:top w:val="nil"/>
              <w:left w:val="nil"/>
              <w:bottom w:val="single" w:sz="4" w:space="0" w:color="auto"/>
              <w:right w:val="single" w:sz="4" w:space="0" w:color="auto"/>
            </w:tcBorders>
            <w:noWrap/>
            <w:vAlign w:val="bottom"/>
          </w:tcPr>
          <w:p w:rsidR="0022223F" w:rsidRPr="00E41805" w:rsidRDefault="0022223F" w:rsidP="00291AA3">
            <w:pPr>
              <w:jc w:val="right"/>
              <w:rPr>
                <w:b/>
                <w:bCs/>
                <w:sz w:val="16"/>
                <w:szCs w:val="16"/>
                <w:lang w:eastAsia="en-GB"/>
              </w:rPr>
            </w:pPr>
            <w:r w:rsidRPr="00E41805">
              <w:rPr>
                <w:b/>
                <w:bCs/>
                <w:sz w:val="16"/>
                <w:szCs w:val="16"/>
                <w:lang w:eastAsia="en-GB"/>
              </w:rPr>
              <w:t>3,891</w:t>
            </w:r>
          </w:p>
        </w:tc>
        <w:tc>
          <w:tcPr>
            <w:tcW w:w="837" w:type="dxa"/>
            <w:tcBorders>
              <w:top w:val="nil"/>
              <w:left w:val="nil"/>
              <w:bottom w:val="single" w:sz="4" w:space="0" w:color="auto"/>
              <w:right w:val="single" w:sz="4" w:space="0" w:color="auto"/>
            </w:tcBorders>
            <w:noWrap/>
            <w:vAlign w:val="bottom"/>
          </w:tcPr>
          <w:p w:rsidR="0022223F" w:rsidRPr="00E41805" w:rsidRDefault="0022223F" w:rsidP="00291AA3">
            <w:pPr>
              <w:jc w:val="right"/>
              <w:rPr>
                <w:b/>
                <w:bCs/>
                <w:sz w:val="16"/>
                <w:szCs w:val="16"/>
                <w:lang w:eastAsia="en-GB"/>
              </w:rPr>
            </w:pPr>
            <w:r w:rsidRPr="00E41805">
              <w:rPr>
                <w:b/>
                <w:bCs/>
                <w:sz w:val="16"/>
                <w:szCs w:val="16"/>
                <w:lang w:eastAsia="en-GB"/>
              </w:rPr>
              <w:t>195</w:t>
            </w:r>
          </w:p>
        </w:tc>
        <w:tc>
          <w:tcPr>
            <w:tcW w:w="803" w:type="dxa"/>
            <w:tcBorders>
              <w:top w:val="nil"/>
              <w:left w:val="nil"/>
              <w:bottom w:val="single" w:sz="4" w:space="0" w:color="auto"/>
              <w:right w:val="single" w:sz="4" w:space="0" w:color="auto"/>
            </w:tcBorders>
            <w:noWrap/>
            <w:vAlign w:val="bottom"/>
          </w:tcPr>
          <w:p w:rsidR="0022223F" w:rsidRPr="00E41805" w:rsidRDefault="0022223F" w:rsidP="00291AA3">
            <w:pPr>
              <w:jc w:val="right"/>
              <w:rPr>
                <w:b/>
                <w:bCs/>
                <w:sz w:val="16"/>
                <w:szCs w:val="16"/>
                <w:lang w:eastAsia="en-GB"/>
              </w:rPr>
            </w:pPr>
            <w:r w:rsidRPr="00E41805">
              <w:rPr>
                <w:b/>
                <w:bCs/>
                <w:sz w:val="16"/>
                <w:szCs w:val="16"/>
                <w:lang w:eastAsia="en-GB"/>
              </w:rPr>
              <w:t>2,859</w:t>
            </w:r>
          </w:p>
        </w:tc>
        <w:tc>
          <w:tcPr>
            <w:tcW w:w="1124" w:type="dxa"/>
            <w:tcBorders>
              <w:top w:val="nil"/>
              <w:left w:val="nil"/>
              <w:bottom w:val="single" w:sz="4" w:space="0" w:color="auto"/>
              <w:right w:val="single" w:sz="4" w:space="0" w:color="auto"/>
            </w:tcBorders>
            <w:noWrap/>
            <w:vAlign w:val="bottom"/>
          </w:tcPr>
          <w:p w:rsidR="0022223F" w:rsidRPr="00E41805" w:rsidRDefault="0022223F" w:rsidP="00291AA3">
            <w:pPr>
              <w:jc w:val="right"/>
              <w:rPr>
                <w:b/>
                <w:bCs/>
                <w:sz w:val="16"/>
                <w:szCs w:val="16"/>
                <w:lang w:eastAsia="en-GB"/>
              </w:rPr>
            </w:pPr>
            <w:r>
              <w:rPr>
                <w:b/>
                <w:bCs/>
                <w:sz w:val="16"/>
                <w:szCs w:val="16"/>
                <w:lang w:eastAsia="en-GB"/>
              </w:rPr>
              <w:t>6,694</w:t>
            </w:r>
          </w:p>
        </w:tc>
      </w:tr>
    </w:tbl>
    <w:p w:rsidR="0022223F" w:rsidRDefault="0022223F" w:rsidP="00611D58">
      <w:pPr>
        <w:ind w:left="360"/>
      </w:pPr>
      <w:r>
        <w:t>*Note that there is an anticipated drawdown of £950k required in relation to the pay award currently being consulted on.</w:t>
      </w:r>
    </w:p>
    <w:p w:rsidR="0022223F" w:rsidRDefault="0022223F" w:rsidP="00515270">
      <w:pPr>
        <w:pStyle w:val="ListParagraph"/>
      </w:pPr>
    </w:p>
    <w:p w:rsidR="0022223F" w:rsidRPr="00A25C8E" w:rsidRDefault="0022223F" w:rsidP="00515270">
      <w:pPr>
        <w:spacing w:after="120"/>
        <w:ind w:right="489"/>
        <w:jc w:val="both"/>
        <w:rPr>
          <w:b/>
          <w:bCs/>
        </w:rPr>
      </w:pPr>
      <w:r w:rsidRPr="00A25C8E">
        <w:rPr>
          <w:b/>
          <w:bCs/>
        </w:rPr>
        <w:t>R</w:t>
      </w:r>
      <w:r>
        <w:rPr>
          <w:b/>
          <w:bCs/>
        </w:rPr>
        <w:t>eserves and Provisions</w:t>
      </w:r>
    </w:p>
    <w:p w:rsidR="0022223F" w:rsidRPr="00D65A93" w:rsidRDefault="0022223F" w:rsidP="00B965AC">
      <w:pPr>
        <w:pStyle w:val="ListParagraph"/>
        <w:numPr>
          <w:ilvl w:val="0"/>
          <w:numId w:val="47"/>
        </w:numPr>
        <w:spacing w:after="240"/>
        <w:ind w:hanging="720"/>
        <w:jc w:val="both"/>
      </w:pPr>
      <w:r>
        <w:t>The Council must hold adequate provisions and reserve balances to cover known and anticipated events and in respect of its statutory duties as appropriate. General non earmarked balances stand at £10m. All the provisions are reviewed on a quarterly basis.  As at Quarter 2 the Council has adequate provisions in respect of Insurance, Litigation and Employment cases.</w:t>
      </w:r>
    </w:p>
    <w:p w:rsidR="0022223F" w:rsidRPr="00A25C8E" w:rsidRDefault="0022223F" w:rsidP="009862B0">
      <w:pPr>
        <w:spacing w:after="120"/>
        <w:ind w:right="489"/>
        <w:jc w:val="both"/>
        <w:rPr>
          <w:b/>
          <w:bCs/>
        </w:rPr>
      </w:pPr>
      <w:r w:rsidRPr="00A25C8E">
        <w:rPr>
          <w:b/>
          <w:bCs/>
        </w:rPr>
        <w:t>D</w:t>
      </w:r>
      <w:r>
        <w:rPr>
          <w:b/>
          <w:bCs/>
        </w:rPr>
        <w:t>ebt Management</w:t>
      </w:r>
    </w:p>
    <w:p w:rsidR="0022223F" w:rsidRDefault="0022223F" w:rsidP="00B965AC">
      <w:pPr>
        <w:pStyle w:val="ListParagraph"/>
        <w:numPr>
          <w:ilvl w:val="0"/>
          <w:numId w:val="47"/>
        </w:numPr>
        <w:spacing w:after="240"/>
        <w:ind w:hanging="720"/>
        <w:jc w:val="both"/>
      </w:pPr>
      <w:r>
        <w:t>The latest position on Council Tax, Business Rates and Housing Benefits bad debts provision is included within Appendix 3.</w:t>
      </w:r>
    </w:p>
    <w:p w:rsidR="0022223F" w:rsidRDefault="0022223F" w:rsidP="006C280B">
      <w:pPr>
        <w:spacing w:after="120"/>
        <w:ind w:right="489"/>
        <w:jc w:val="both"/>
      </w:pPr>
    </w:p>
    <w:p w:rsidR="0022223F" w:rsidRPr="000860C4" w:rsidRDefault="0022223F" w:rsidP="009862B0">
      <w:pPr>
        <w:ind w:right="489"/>
        <w:jc w:val="both"/>
        <w:rPr>
          <w:b/>
          <w:bCs/>
          <w:u w:val="single"/>
        </w:rPr>
      </w:pPr>
      <w:r w:rsidRPr="000860C4">
        <w:rPr>
          <w:b/>
          <w:bCs/>
          <w:u w:val="single"/>
        </w:rPr>
        <w:t>MTFS IMPLEMENTATION TRACKER</w:t>
      </w:r>
    </w:p>
    <w:p w:rsidR="0022223F" w:rsidRDefault="0022223F" w:rsidP="009862B0">
      <w:pPr>
        <w:ind w:right="489"/>
        <w:jc w:val="both"/>
        <w:rPr>
          <w:b/>
          <w:bCs/>
        </w:rPr>
      </w:pPr>
    </w:p>
    <w:p w:rsidR="0022223F" w:rsidRPr="00D5566E" w:rsidRDefault="0022223F" w:rsidP="00B965AC">
      <w:pPr>
        <w:pStyle w:val="ListParagraph"/>
        <w:numPr>
          <w:ilvl w:val="0"/>
          <w:numId w:val="47"/>
        </w:numPr>
        <w:spacing w:after="240"/>
        <w:ind w:hanging="720"/>
        <w:jc w:val="both"/>
      </w:pPr>
      <w:r>
        <w:t xml:space="preserve">The 2014/15 budget includes approved MTFS savings of £12.939m.  The progress on implementation is summarised below in table 4 below and shown in more detail in Appendix 2: </w:t>
      </w:r>
    </w:p>
    <w:p w:rsidR="0022223F" w:rsidRDefault="0022223F" w:rsidP="00D5566E">
      <w:pPr>
        <w:ind w:right="489"/>
        <w:jc w:val="both"/>
      </w:pPr>
    </w:p>
    <w:p w:rsidR="0022223F" w:rsidRPr="004F5A77" w:rsidRDefault="0022223F" w:rsidP="009862B0">
      <w:pPr>
        <w:rPr>
          <w:b/>
          <w:bCs/>
          <w:u w:val="single"/>
        </w:rPr>
      </w:pPr>
      <w:r w:rsidRPr="004F5A77">
        <w:rPr>
          <w:b/>
          <w:bCs/>
          <w:u w:val="single"/>
        </w:rPr>
        <w:t>Table 4 RAG Rating of 2014/15 Savings</w:t>
      </w:r>
    </w:p>
    <w:p w:rsidR="0022223F" w:rsidRDefault="0022223F" w:rsidP="009862B0">
      <w:pPr>
        <w:rPr>
          <w:b/>
          <w:bCs/>
        </w:rPr>
      </w:pPr>
      <w:r w:rsidRPr="00CB7A9B">
        <w:rPr>
          <w:noProof/>
          <w:lang w:val="en-US"/>
        </w:rPr>
        <w:pict>
          <v:shape id="Picture 4" o:spid="_x0000_i1026" type="#_x0000_t75" style="width:344.25pt;height:107.25pt;visibility:visible">
            <v:imagedata r:id="rId8" o:title=""/>
          </v:shape>
        </w:pict>
      </w:r>
    </w:p>
    <w:p w:rsidR="0022223F" w:rsidRDefault="0022223F" w:rsidP="009862B0">
      <w:pPr>
        <w:rPr>
          <w:b/>
          <w:bCs/>
        </w:rPr>
      </w:pPr>
    </w:p>
    <w:p w:rsidR="0022223F" w:rsidRDefault="0022223F" w:rsidP="009862B0">
      <w:pPr>
        <w:rPr>
          <w:b/>
          <w:bCs/>
        </w:rPr>
      </w:pPr>
    </w:p>
    <w:p w:rsidR="0022223F" w:rsidRDefault="0022223F" w:rsidP="009862B0">
      <w:pPr>
        <w:rPr>
          <w:b/>
          <w:bCs/>
        </w:rPr>
      </w:pPr>
    </w:p>
    <w:p w:rsidR="0022223F" w:rsidRDefault="0022223F" w:rsidP="009862B0">
      <w:pPr>
        <w:rPr>
          <w:b/>
          <w:bCs/>
        </w:rPr>
      </w:pPr>
    </w:p>
    <w:p w:rsidR="0022223F" w:rsidRPr="00515270" w:rsidRDefault="0022223F" w:rsidP="009862B0">
      <w:pPr>
        <w:pStyle w:val="Heading2"/>
        <w:rPr>
          <w:u w:val="single"/>
        </w:rPr>
      </w:pPr>
      <w:r w:rsidRPr="00515270">
        <w:rPr>
          <w:u w:val="single"/>
        </w:rPr>
        <w:t>CAPITAL PROGRAMME</w:t>
      </w:r>
    </w:p>
    <w:p w:rsidR="0022223F" w:rsidRDefault="0022223F" w:rsidP="009862B0">
      <w:pPr>
        <w:keepNext/>
        <w:outlineLvl w:val="1"/>
        <w:rPr>
          <w:b/>
          <w:bCs/>
          <w:kern w:val="32"/>
          <w:u w:val="single"/>
        </w:rPr>
      </w:pPr>
      <w:bookmarkStart w:id="8" w:name="_Toc372706236"/>
    </w:p>
    <w:p w:rsidR="0022223F" w:rsidRDefault="0022223F" w:rsidP="00B965AC">
      <w:pPr>
        <w:pStyle w:val="ListParagraph"/>
        <w:numPr>
          <w:ilvl w:val="0"/>
          <w:numId w:val="47"/>
        </w:numPr>
        <w:spacing w:after="240"/>
        <w:ind w:hanging="720"/>
        <w:jc w:val="both"/>
      </w:pPr>
      <w:r>
        <w:t>In Quarter 1 the2014/15 capital programme was forecasting to spend £114.8m, 97% of the total programme.</w:t>
      </w:r>
    </w:p>
    <w:p w:rsidR="0022223F" w:rsidRDefault="0022223F" w:rsidP="00DA79AC">
      <w:pPr>
        <w:pStyle w:val="ListParagraph"/>
        <w:numPr>
          <w:ilvl w:val="0"/>
          <w:numId w:val="47"/>
        </w:numPr>
        <w:spacing w:after="240"/>
        <w:ind w:hanging="720"/>
        <w:jc w:val="both"/>
      </w:pPr>
      <w:r>
        <w:t xml:space="preserve">A significant review of the capital forecast has been undertaking in Quarter 2 to ensure it is robust and that it reflects, to the best of officer’s knowledge, the expected outturn at year end.  </w:t>
      </w:r>
    </w:p>
    <w:p w:rsidR="0022223F" w:rsidRPr="00BF04B3" w:rsidRDefault="0022223F" w:rsidP="00BF04B3">
      <w:pPr>
        <w:spacing w:after="240"/>
        <w:rPr>
          <w:b/>
          <w:bCs/>
          <w:u w:val="single"/>
        </w:rPr>
      </w:pPr>
      <w:r w:rsidRPr="00BF04B3">
        <w:rPr>
          <w:b/>
          <w:bCs/>
          <w:u w:val="single"/>
        </w:rPr>
        <w:t>Capital Programme Forecast at Quarter 2</w:t>
      </w:r>
    </w:p>
    <w:p w:rsidR="0022223F" w:rsidRDefault="0022223F" w:rsidP="00DA79AC">
      <w:pPr>
        <w:pStyle w:val="ListParagraph"/>
        <w:numPr>
          <w:ilvl w:val="0"/>
          <w:numId w:val="47"/>
        </w:numPr>
        <w:spacing w:after="240"/>
        <w:ind w:hanging="720"/>
        <w:jc w:val="both"/>
      </w:pPr>
      <w:r>
        <w:t>The forecast at Quarter 2 is £85.243m, 73% of the total capital programme and a significant reduction of 24% when compared with Quarter 1. This will continue to be monitored closely.</w:t>
      </w:r>
    </w:p>
    <w:p w:rsidR="0022223F" w:rsidRDefault="0022223F" w:rsidP="00DA79AC">
      <w:pPr>
        <w:pStyle w:val="ListParagraph"/>
        <w:numPr>
          <w:ilvl w:val="0"/>
          <w:numId w:val="47"/>
        </w:numPr>
        <w:spacing w:after="240"/>
        <w:ind w:hanging="720"/>
        <w:jc w:val="both"/>
      </w:pPr>
      <w:r>
        <w:t>Overall an underspend of £31.726m is being forecast. This covers both general fund and HRA.  The general fund is projecting an underspend of £28.115m of which £27.104m will be slipped into 2015/16 year and £1.011m is no longer required.  The HRA is forecasting an underspend of £3.611m.</w:t>
      </w:r>
    </w:p>
    <w:p w:rsidR="0022223F" w:rsidRDefault="0022223F" w:rsidP="00DA79AC">
      <w:pPr>
        <w:pStyle w:val="ListParagraph"/>
        <w:numPr>
          <w:ilvl w:val="0"/>
          <w:numId w:val="47"/>
        </w:numPr>
        <w:spacing w:after="240"/>
        <w:ind w:hanging="720"/>
        <w:jc w:val="both"/>
      </w:pPr>
      <w:r>
        <w:t>Tables 5 and 6 below summarise the capital forecast position and Appendix 4 shows the capital programme in more detail:</w:t>
      </w:r>
    </w:p>
    <w:p w:rsidR="0022223F" w:rsidRDefault="0022223F" w:rsidP="00AC5013">
      <w:pPr>
        <w:spacing w:after="240"/>
        <w:rPr>
          <w:b/>
          <w:bCs/>
          <w:u w:val="single"/>
        </w:rPr>
      </w:pPr>
      <w:r w:rsidRPr="00BF04B3">
        <w:rPr>
          <w:b/>
          <w:bCs/>
          <w:u w:val="single"/>
        </w:rPr>
        <w:t xml:space="preserve">Table 5. Analysis of Outturn variance </w:t>
      </w:r>
    </w:p>
    <w:p w:rsidR="0022223F" w:rsidRDefault="0022223F" w:rsidP="00AC5013">
      <w:pPr>
        <w:spacing w:after="240"/>
        <w:rPr>
          <w:b/>
          <w:bCs/>
          <w:u w:val="single"/>
        </w:rPr>
      </w:pPr>
      <w:r w:rsidRPr="00CB7A9B">
        <w:rPr>
          <w:noProof/>
          <w:lang w:val="en-US"/>
        </w:rPr>
        <w:pict>
          <v:shape id="Picture 5" o:spid="_x0000_i1027" type="#_x0000_t75" style="width:452.25pt;height:146.25pt;visibility:visible">
            <v:imagedata r:id="rId9" o:title=""/>
          </v:shape>
        </w:pict>
      </w:r>
    </w:p>
    <w:p w:rsidR="0022223F" w:rsidRDefault="0022223F" w:rsidP="00472CA0">
      <w:pPr>
        <w:pStyle w:val="ListParagraph"/>
        <w:spacing w:after="240"/>
      </w:pPr>
    </w:p>
    <w:p w:rsidR="0022223F" w:rsidRDefault="0022223F" w:rsidP="009F275D">
      <w:pPr>
        <w:spacing w:after="240"/>
        <w:rPr>
          <w:b/>
          <w:bCs/>
          <w:u w:val="single"/>
        </w:rPr>
      </w:pPr>
      <w:r w:rsidRPr="009F275D">
        <w:rPr>
          <w:b/>
          <w:bCs/>
          <w:u w:val="single"/>
        </w:rPr>
        <w:t>Table 6 Summary of forecast by directorate</w:t>
      </w:r>
    </w:p>
    <w:p w:rsidR="0022223F" w:rsidRDefault="0022223F" w:rsidP="009F275D">
      <w:pPr>
        <w:spacing w:after="240"/>
        <w:rPr>
          <w:b/>
          <w:bCs/>
          <w:u w:val="single"/>
        </w:rPr>
      </w:pPr>
      <w:r w:rsidRPr="00CB7A9B">
        <w:rPr>
          <w:noProof/>
          <w:lang w:val="en-US"/>
        </w:rPr>
        <w:pict>
          <v:shape id="Picture 2" o:spid="_x0000_i1028" type="#_x0000_t75" style="width:450pt;height:136.5pt;visibility:visible">
            <v:imagedata r:id="rId10" o:title=""/>
          </v:shape>
        </w:pict>
      </w:r>
    </w:p>
    <w:p w:rsidR="0022223F" w:rsidRPr="009F275D" w:rsidRDefault="0022223F" w:rsidP="009F275D">
      <w:pPr>
        <w:spacing w:after="240"/>
        <w:rPr>
          <w:b/>
          <w:bCs/>
          <w:u w:val="single"/>
        </w:rPr>
      </w:pPr>
    </w:p>
    <w:bookmarkEnd w:id="8"/>
    <w:p w:rsidR="0022223F" w:rsidRPr="00DD4605" w:rsidRDefault="0022223F" w:rsidP="00EC50EC">
      <w:pPr>
        <w:keepNext/>
        <w:outlineLvl w:val="1"/>
        <w:rPr>
          <w:b/>
          <w:bCs/>
          <w:kern w:val="32"/>
          <w:u w:val="single"/>
        </w:rPr>
      </w:pPr>
      <w:r w:rsidRPr="009067FF">
        <w:rPr>
          <w:b/>
          <w:bCs/>
          <w:kern w:val="32"/>
          <w:u w:val="single"/>
        </w:rPr>
        <w:t>Children and Families</w:t>
      </w:r>
    </w:p>
    <w:p w:rsidR="0022223F" w:rsidRPr="00DD4605" w:rsidRDefault="0022223F" w:rsidP="00B965AC">
      <w:pPr>
        <w:pStyle w:val="ListParagraph"/>
        <w:keepNext/>
        <w:numPr>
          <w:ilvl w:val="0"/>
          <w:numId w:val="47"/>
        </w:numPr>
        <w:ind w:hanging="720"/>
        <w:jc w:val="both"/>
        <w:outlineLvl w:val="1"/>
        <w:rPr>
          <w:kern w:val="32"/>
        </w:rPr>
      </w:pPr>
      <w:r w:rsidRPr="00DD4605">
        <w:rPr>
          <w:kern w:val="32"/>
        </w:rPr>
        <w:t>As at Quarter 1 the forecast was £53.746m, 100% of the Children’s 2014/15 capital budget. At Quarter 2 the revised forecast is £34.07</w:t>
      </w:r>
      <w:r>
        <w:rPr>
          <w:kern w:val="32"/>
        </w:rPr>
        <w:t>7</w:t>
      </w:r>
      <w:r w:rsidRPr="00DD4605">
        <w:rPr>
          <w:kern w:val="32"/>
        </w:rPr>
        <w:t xml:space="preserve">m, 63% of the total budget and a significant reduction when compared to Quarter 1.  The forecast under spend is £19.669m all of which will be slipped into 2015/16 for the following reasons.  </w:t>
      </w:r>
    </w:p>
    <w:p w:rsidR="0022223F" w:rsidRPr="009067FF" w:rsidRDefault="0022223F" w:rsidP="009862B0">
      <w:pPr>
        <w:keepNext/>
        <w:outlineLvl w:val="1"/>
        <w:rPr>
          <w:kern w:val="32"/>
        </w:rPr>
      </w:pPr>
    </w:p>
    <w:p w:rsidR="0022223F" w:rsidRDefault="0022223F" w:rsidP="00B965AC">
      <w:pPr>
        <w:pStyle w:val="ListParagraph"/>
        <w:numPr>
          <w:ilvl w:val="0"/>
          <w:numId w:val="47"/>
        </w:numPr>
        <w:spacing w:after="240"/>
        <w:ind w:hanging="720"/>
        <w:jc w:val="both"/>
      </w:pPr>
      <w:r>
        <w:t>There is projected slippage on the primary expansion phases 1 and 2, secondary expansion and SEN expansion totalling £16m.  This is due to d</w:t>
      </w:r>
      <w:r w:rsidRPr="00957E8F">
        <w:t xml:space="preserve">elays with </w:t>
      </w:r>
      <w:r>
        <w:t xml:space="preserve">the </w:t>
      </w:r>
      <w:r w:rsidRPr="00957E8F">
        <w:t xml:space="preserve">Contracting Partner delivering </w:t>
      </w:r>
      <w:r>
        <w:t xml:space="preserve">the </w:t>
      </w:r>
      <w:r w:rsidRPr="00957E8F">
        <w:t>programme by approximately 3 months due in part to market conditions. A late programme has been received from the fram</w:t>
      </w:r>
      <w:r>
        <w:t>e</w:t>
      </w:r>
      <w:r w:rsidRPr="00957E8F">
        <w:t>work contractor of the ou</w:t>
      </w:r>
      <w:r>
        <w:t>ts</w:t>
      </w:r>
      <w:r w:rsidRPr="00957E8F">
        <w:t>tanding projects to be completed by Sept</w:t>
      </w:r>
      <w:r>
        <w:t>ember</w:t>
      </w:r>
      <w:r w:rsidRPr="00957E8F">
        <w:t xml:space="preserve"> 2015 but it is lacking in detail and the issue is being referred back to so that the council can be assured about delivery in time for the new pupil intake in Sept</w:t>
      </w:r>
      <w:r>
        <w:t>ember</w:t>
      </w:r>
      <w:r w:rsidRPr="00957E8F">
        <w:t xml:space="preserve"> 2015. The current increase in construction work activity in the country as a whole has caused some problems in obtaining competitive quotes and employing sufficient resources to deliver a large scale building programme and this has caused some de</w:t>
      </w:r>
      <w:r>
        <w:t>lay</w:t>
      </w:r>
      <w:r w:rsidRPr="00957E8F">
        <w:t xml:space="preserve"> in agreeing prices and starting works on site</w:t>
      </w:r>
      <w:r>
        <w:t xml:space="preserve">. </w:t>
      </w:r>
      <w:r w:rsidRPr="00CA71F4">
        <w:t>Based on current estimates and market conditions it is still expected that it is possible to deliver this programme with</w:t>
      </w:r>
      <w:r>
        <w:t>in</w:t>
      </w:r>
      <w:r w:rsidRPr="00CA71F4">
        <w:t xml:space="preserve"> EFA capital grants, without the need for council capital funding. However this is a risk which is being monitored closely.</w:t>
      </w:r>
    </w:p>
    <w:p w:rsidR="0022223F" w:rsidRDefault="0022223F" w:rsidP="00B965AC">
      <w:pPr>
        <w:pStyle w:val="ListParagraph"/>
        <w:numPr>
          <w:ilvl w:val="0"/>
          <w:numId w:val="47"/>
        </w:numPr>
        <w:spacing w:after="240"/>
        <w:ind w:hanging="720"/>
        <w:jc w:val="both"/>
      </w:pPr>
      <w:r>
        <w:t>The phase 3 primary expansion programme is still undergoing statutory consultation to determine which schools will be covered and this will result in £1.6m of slippage to 2015/16.</w:t>
      </w:r>
    </w:p>
    <w:p w:rsidR="0022223F" w:rsidRDefault="0022223F" w:rsidP="00B965AC">
      <w:pPr>
        <w:pStyle w:val="ListParagraph"/>
        <w:numPr>
          <w:ilvl w:val="0"/>
          <w:numId w:val="47"/>
        </w:numPr>
        <w:spacing w:after="240"/>
        <w:ind w:hanging="720"/>
        <w:jc w:val="both"/>
      </w:pPr>
      <w:r>
        <w:t xml:space="preserve">£820k of Harrow funded IT development has been re-phased to 2015/16 to reduce MRP costs in 2015/16. </w:t>
      </w:r>
    </w:p>
    <w:p w:rsidR="0022223F" w:rsidRDefault="0022223F" w:rsidP="00B965AC">
      <w:pPr>
        <w:pStyle w:val="ListParagraph"/>
        <w:numPr>
          <w:ilvl w:val="0"/>
          <w:numId w:val="47"/>
        </w:numPr>
        <w:spacing w:after="240"/>
        <w:ind w:hanging="720"/>
        <w:jc w:val="both"/>
      </w:pPr>
      <w:r>
        <w:t>School amalgamations are expected to slip by £700k as a result of less schools amalgamating in 2014/15 than budgeted.</w:t>
      </w:r>
    </w:p>
    <w:p w:rsidR="0022223F" w:rsidRPr="00DD4605" w:rsidRDefault="0022223F" w:rsidP="00B965AC">
      <w:pPr>
        <w:pStyle w:val="ListParagraph"/>
        <w:numPr>
          <w:ilvl w:val="0"/>
          <w:numId w:val="47"/>
        </w:numPr>
        <w:spacing w:after="240"/>
        <w:ind w:hanging="720"/>
        <w:jc w:val="both"/>
      </w:pPr>
      <w:r>
        <w:t>Schools capital maintenance is forecast to slip by £850kas a result of the expansion work taking place on a large number of schools.</w:t>
      </w:r>
    </w:p>
    <w:p w:rsidR="0022223F" w:rsidRDefault="0022223F" w:rsidP="00726FC7">
      <w:pPr>
        <w:spacing w:after="240"/>
        <w:rPr>
          <w:b/>
          <w:bCs/>
          <w:kern w:val="32"/>
          <w:u w:val="single"/>
        </w:rPr>
      </w:pPr>
      <w:r w:rsidRPr="009067FF">
        <w:rPr>
          <w:b/>
          <w:bCs/>
          <w:kern w:val="32"/>
          <w:u w:val="single"/>
        </w:rPr>
        <w:t>Community, Health and Wellbeing</w:t>
      </w:r>
    </w:p>
    <w:p w:rsidR="0022223F" w:rsidRPr="00DD4605" w:rsidRDefault="0022223F" w:rsidP="00B965AC">
      <w:pPr>
        <w:pStyle w:val="ListParagraph"/>
        <w:numPr>
          <w:ilvl w:val="0"/>
          <w:numId w:val="47"/>
        </w:numPr>
        <w:spacing w:after="240"/>
        <w:ind w:hanging="720"/>
        <w:jc w:val="both"/>
        <w:rPr>
          <w:kern w:val="32"/>
        </w:rPr>
      </w:pPr>
      <w:r w:rsidRPr="00DD4605">
        <w:rPr>
          <w:kern w:val="32"/>
        </w:rPr>
        <w:t>As at Quarter 1 the forecast was £8.696m, 96% of the Community Health and Culture’s 2014/15 capital budget. At Quarter 2 the revised forecast is £</w:t>
      </w:r>
      <w:r>
        <w:rPr>
          <w:kern w:val="32"/>
        </w:rPr>
        <w:t>5.084</w:t>
      </w:r>
      <w:r w:rsidRPr="00DD4605">
        <w:rPr>
          <w:kern w:val="32"/>
        </w:rPr>
        <w:t>m, 5</w:t>
      </w:r>
      <w:r>
        <w:rPr>
          <w:kern w:val="32"/>
        </w:rPr>
        <w:t>6</w:t>
      </w:r>
      <w:r w:rsidRPr="00DD4605">
        <w:rPr>
          <w:kern w:val="32"/>
        </w:rPr>
        <w:t xml:space="preserve">% of the total budget and a significant reduction when compared to Quarter 1.  </w:t>
      </w:r>
    </w:p>
    <w:p w:rsidR="0022223F" w:rsidRPr="00DD4605" w:rsidRDefault="0022223F" w:rsidP="00DA79AC">
      <w:pPr>
        <w:pStyle w:val="ListParagraph"/>
        <w:numPr>
          <w:ilvl w:val="0"/>
          <w:numId w:val="47"/>
        </w:numPr>
        <w:spacing w:after="240"/>
        <w:ind w:hanging="720"/>
        <w:jc w:val="both"/>
        <w:rPr>
          <w:b/>
          <w:bCs/>
          <w:kern w:val="32"/>
          <w:u w:val="single"/>
        </w:rPr>
      </w:pPr>
      <w:r w:rsidRPr="00DD4605">
        <w:rPr>
          <w:kern w:val="32"/>
        </w:rPr>
        <w:t>The forecast under spend is £</w:t>
      </w:r>
      <w:r>
        <w:rPr>
          <w:kern w:val="32"/>
        </w:rPr>
        <w:t>3.932</w:t>
      </w:r>
      <w:r w:rsidRPr="00DD4605">
        <w:rPr>
          <w:kern w:val="32"/>
        </w:rPr>
        <w:t>m</w:t>
      </w:r>
      <w:r w:rsidRPr="00DD4605">
        <w:t xml:space="preserve">, of which£3.835mwill be slipped to </w:t>
      </w:r>
      <w:r>
        <w:t xml:space="preserve">2015/16 and </w:t>
      </w:r>
      <w:r w:rsidRPr="00DD4605">
        <w:rPr>
          <w:kern w:val="32"/>
        </w:rPr>
        <w:t>£97k</w:t>
      </w:r>
      <w:r>
        <w:rPr>
          <w:kern w:val="32"/>
        </w:rPr>
        <w:t xml:space="preserve">is </w:t>
      </w:r>
      <w:r w:rsidRPr="00DD4605">
        <w:rPr>
          <w:kern w:val="32"/>
        </w:rPr>
        <w:t>no longer needed.</w:t>
      </w:r>
    </w:p>
    <w:p w:rsidR="0022223F" w:rsidRDefault="0022223F" w:rsidP="00DA79AC">
      <w:pPr>
        <w:pStyle w:val="ListParagraph"/>
        <w:numPr>
          <w:ilvl w:val="0"/>
          <w:numId w:val="47"/>
        </w:numPr>
        <w:spacing w:after="240"/>
        <w:ind w:hanging="720"/>
        <w:jc w:val="both"/>
      </w:pPr>
      <w:r>
        <w:t>There are two key reasons why budget is being slipped:</w:t>
      </w:r>
    </w:p>
    <w:p w:rsidR="0022223F" w:rsidRPr="00DD4605" w:rsidRDefault="0022223F" w:rsidP="00DA79AC">
      <w:pPr>
        <w:pStyle w:val="ListParagraph"/>
        <w:numPr>
          <w:ilvl w:val="0"/>
          <w:numId w:val="26"/>
        </w:numPr>
        <w:spacing w:after="240"/>
        <w:jc w:val="both"/>
      </w:pPr>
      <w:r w:rsidRPr="00DD4605">
        <w:t>The following projects are due to start/have started but it is envisaged that projects will not be completed in this financial year and therefore a proportion of the budget will need to be slipped into the next financial year. The current forecast slippage is shown in brackets, as below;</w:t>
      </w:r>
    </w:p>
    <w:p w:rsidR="0022223F" w:rsidRPr="00A3767D" w:rsidRDefault="0022223F" w:rsidP="00DA79AC">
      <w:pPr>
        <w:pStyle w:val="ListParagraph"/>
        <w:numPr>
          <w:ilvl w:val="1"/>
          <w:numId w:val="26"/>
        </w:numPr>
        <w:jc w:val="both"/>
      </w:pPr>
      <w:r w:rsidRPr="00A3767D">
        <w:t>Adults Social Care-Framework-I &amp; IT Integration (£</w:t>
      </w:r>
      <w:r>
        <w:t>70k</w:t>
      </w:r>
      <w:r w:rsidRPr="00A3767D">
        <w:t>)</w:t>
      </w:r>
    </w:p>
    <w:p w:rsidR="0022223F" w:rsidRPr="002E1FA5" w:rsidRDefault="0022223F" w:rsidP="00DA79AC">
      <w:pPr>
        <w:pStyle w:val="ListParagraph"/>
        <w:numPr>
          <w:ilvl w:val="1"/>
          <w:numId w:val="26"/>
        </w:numPr>
        <w:jc w:val="both"/>
      </w:pPr>
      <w:r w:rsidRPr="002E1FA5">
        <w:t>MOSAIC Implementation - Adults &amp; Children's Services (£</w:t>
      </w:r>
      <w:r>
        <w:t>250k</w:t>
      </w:r>
      <w:r w:rsidRPr="002E1FA5">
        <w:t>)</w:t>
      </w:r>
    </w:p>
    <w:p w:rsidR="0022223F" w:rsidRPr="002E1FA5" w:rsidRDefault="0022223F" w:rsidP="00DA79AC">
      <w:pPr>
        <w:pStyle w:val="ListParagraph"/>
        <w:numPr>
          <w:ilvl w:val="1"/>
          <w:numId w:val="26"/>
        </w:numPr>
        <w:jc w:val="both"/>
      </w:pPr>
      <w:r w:rsidRPr="002E1FA5">
        <w:t>Leisure centre capital infrastructure (£</w:t>
      </w:r>
      <w:r>
        <w:t>137k</w:t>
      </w:r>
      <w:r w:rsidRPr="002E1FA5">
        <w:t>)</w:t>
      </w:r>
    </w:p>
    <w:p w:rsidR="0022223F" w:rsidRPr="002E1FA5" w:rsidRDefault="0022223F" w:rsidP="00DA79AC">
      <w:pPr>
        <w:pStyle w:val="ListParagraph"/>
        <w:numPr>
          <w:ilvl w:val="1"/>
          <w:numId w:val="26"/>
        </w:numPr>
        <w:jc w:val="both"/>
      </w:pPr>
      <w:r w:rsidRPr="002E1FA5">
        <w:t>Carers Services Charges (£</w:t>
      </w:r>
      <w:r>
        <w:t>50k</w:t>
      </w:r>
      <w:r w:rsidRPr="002E1FA5">
        <w:t>)</w:t>
      </w:r>
    </w:p>
    <w:p w:rsidR="0022223F" w:rsidRDefault="0022223F" w:rsidP="00DA79AC">
      <w:pPr>
        <w:pStyle w:val="ListParagraph"/>
        <w:numPr>
          <w:ilvl w:val="1"/>
          <w:numId w:val="26"/>
        </w:numPr>
        <w:spacing w:after="240"/>
        <w:jc w:val="both"/>
      </w:pPr>
      <w:r w:rsidRPr="002E1FA5">
        <w:t>Mental Health Supported Housing Repairs (£</w:t>
      </w:r>
      <w:r>
        <w:t>41k</w:t>
      </w:r>
      <w:r w:rsidRPr="002E1FA5">
        <w:t>)</w:t>
      </w:r>
    </w:p>
    <w:p w:rsidR="0022223F" w:rsidRPr="00A3767D" w:rsidRDefault="0022223F" w:rsidP="00DA79AC">
      <w:pPr>
        <w:pStyle w:val="ListParagraph"/>
        <w:numPr>
          <w:ilvl w:val="1"/>
          <w:numId w:val="26"/>
        </w:numPr>
        <w:spacing w:after="240"/>
        <w:jc w:val="both"/>
      </w:pPr>
      <w:r w:rsidRPr="00A3767D">
        <w:t>Empty Property and private sector initiative (£</w:t>
      </w:r>
      <w:r>
        <w:t>248k</w:t>
      </w:r>
      <w:r w:rsidRPr="00A3767D">
        <w:t>)</w:t>
      </w:r>
    </w:p>
    <w:p w:rsidR="0022223F" w:rsidRPr="002E1FA5" w:rsidRDefault="0022223F" w:rsidP="00DA79AC">
      <w:pPr>
        <w:pStyle w:val="ListParagraph"/>
        <w:numPr>
          <w:ilvl w:val="1"/>
          <w:numId w:val="26"/>
        </w:numPr>
        <w:spacing w:after="240"/>
        <w:jc w:val="both"/>
      </w:pPr>
      <w:r w:rsidRPr="002E1FA5">
        <w:t>Headstone manor (£</w:t>
      </w:r>
      <w:r>
        <w:t>407k</w:t>
      </w:r>
      <w:r w:rsidRPr="002E1FA5">
        <w:t>)</w:t>
      </w:r>
    </w:p>
    <w:p w:rsidR="0022223F" w:rsidRPr="00A3767D" w:rsidRDefault="0022223F" w:rsidP="00DA79AC">
      <w:pPr>
        <w:pStyle w:val="ListParagraph"/>
        <w:numPr>
          <w:ilvl w:val="0"/>
          <w:numId w:val="26"/>
        </w:numPr>
        <w:spacing w:after="240"/>
        <w:jc w:val="both"/>
      </w:pPr>
      <w:r w:rsidRPr="00A3767D">
        <w:t>The following projects will be slipped into 15/16 on the basis that the strategy is not likely to be finalised until the last quarter of</w:t>
      </w:r>
      <w:r>
        <w:t xml:space="preserve"> this year/ next financial year:</w:t>
      </w:r>
    </w:p>
    <w:p w:rsidR="0022223F" w:rsidRPr="002E1FA5" w:rsidRDefault="0022223F" w:rsidP="00DA79AC">
      <w:pPr>
        <w:pStyle w:val="ListParagraph"/>
        <w:numPr>
          <w:ilvl w:val="1"/>
          <w:numId w:val="26"/>
        </w:numPr>
        <w:jc w:val="both"/>
      </w:pPr>
      <w:r w:rsidRPr="002E1FA5">
        <w:t>Capital Strategic Review (£</w:t>
      </w:r>
      <w:r>
        <w:t>575k</w:t>
      </w:r>
      <w:r w:rsidRPr="002E1FA5">
        <w:t>)</w:t>
      </w:r>
    </w:p>
    <w:p w:rsidR="0022223F" w:rsidRPr="002E1FA5" w:rsidRDefault="0022223F" w:rsidP="00DA79AC">
      <w:pPr>
        <w:pStyle w:val="ListParagraph"/>
        <w:numPr>
          <w:ilvl w:val="1"/>
          <w:numId w:val="26"/>
        </w:numPr>
        <w:jc w:val="both"/>
      </w:pPr>
      <w:r w:rsidRPr="002E1FA5">
        <w:t>Quality outcome for People with Dementia (£</w:t>
      </w:r>
      <w:r>
        <w:t>150k</w:t>
      </w:r>
      <w:r w:rsidRPr="002E1FA5">
        <w:t>)</w:t>
      </w:r>
    </w:p>
    <w:p w:rsidR="0022223F" w:rsidRPr="002E1FA5" w:rsidRDefault="0022223F" w:rsidP="00DA79AC">
      <w:pPr>
        <w:pStyle w:val="ListParagraph"/>
        <w:numPr>
          <w:ilvl w:val="1"/>
          <w:numId w:val="26"/>
        </w:numPr>
        <w:jc w:val="both"/>
      </w:pPr>
      <w:r w:rsidRPr="002E1FA5">
        <w:t>Sec 106 Banister Sport Pitch (£1</w:t>
      </w:r>
      <w:r>
        <w:t>m</w:t>
      </w:r>
      <w:r w:rsidRPr="002E1FA5">
        <w:t>)</w:t>
      </w:r>
    </w:p>
    <w:p w:rsidR="0022223F" w:rsidRPr="002E1FA5" w:rsidRDefault="0022223F" w:rsidP="00DA79AC">
      <w:pPr>
        <w:pStyle w:val="ListParagraph"/>
        <w:numPr>
          <w:ilvl w:val="1"/>
          <w:numId w:val="26"/>
        </w:numPr>
        <w:jc w:val="both"/>
      </w:pPr>
      <w:r w:rsidRPr="002E1FA5">
        <w:t>Market Shaping And Development (£</w:t>
      </w:r>
      <w:r>
        <w:t>250k</w:t>
      </w:r>
      <w:r w:rsidRPr="002E1FA5">
        <w:t>)</w:t>
      </w:r>
    </w:p>
    <w:p w:rsidR="0022223F" w:rsidRPr="002E1FA5" w:rsidRDefault="0022223F" w:rsidP="00DA79AC">
      <w:pPr>
        <w:pStyle w:val="ListParagraph"/>
        <w:numPr>
          <w:ilvl w:val="1"/>
          <w:numId w:val="26"/>
        </w:numPr>
        <w:jc w:val="both"/>
      </w:pPr>
      <w:r w:rsidRPr="002E1FA5">
        <w:t>Safeguarding Quality Assurance Quadrants (QAQ) (£</w:t>
      </w:r>
      <w:r>
        <w:t>175k</w:t>
      </w:r>
      <w:r w:rsidRPr="002E1FA5">
        <w:t>)</w:t>
      </w:r>
    </w:p>
    <w:p w:rsidR="0022223F" w:rsidRDefault="0022223F" w:rsidP="00DA79AC">
      <w:pPr>
        <w:pStyle w:val="ListParagraph"/>
        <w:numPr>
          <w:ilvl w:val="1"/>
          <w:numId w:val="26"/>
        </w:numPr>
        <w:jc w:val="both"/>
      </w:pPr>
      <w:r w:rsidRPr="002E1FA5">
        <w:t>Integrated Health Model (£</w:t>
      </w:r>
      <w:r>
        <w:t>250k)</w:t>
      </w:r>
    </w:p>
    <w:p w:rsidR="0022223F" w:rsidRPr="00EB63CF" w:rsidRDefault="0022223F" w:rsidP="00DA79AC">
      <w:pPr>
        <w:pStyle w:val="ListParagraph"/>
        <w:numPr>
          <w:ilvl w:val="1"/>
          <w:numId w:val="26"/>
        </w:numPr>
        <w:jc w:val="both"/>
      </w:pPr>
      <w:r>
        <w:t>Community Capacity Grant (£232k)</w:t>
      </w:r>
    </w:p>
    <w:p w:rsidR="0022223F" w:rsidRDefault="0022223F" w:rsidP="00DA79AC">
      <w:pPr>
        <w:ind w:left="360"/>
        <w:jc w:val="both"/>
      </w:pPr>
    </w:p>
    <w:p w:rsidR="0022223F" w:rsidRPr="002A20D2" w:rsidRDefault="0022223F" w:rsidP="00DA79AC">
      <w:pPr>
        <w:pStyle w:val="ListParagraph"/>
        <w:numPr>
          <w:ilvl w:val="0"/>
          <w:numId w:val="46"/>
        </w:numPr>
        <w:spacing w:after="240"/>
        <w:jc w:val="both"/>
      </w:pPr>
      <w:r w:rsidRPr="002A20D2">
        <w:t xml:space="preserve">The Disabled Facilities grant, Empty Properties grant and Private initiatives will underspend by £97k. </w:t>
      </w:r>
    </w:p>
    <w:p w:rsidR="0022223F" w:rsidRDefault="0022223F" w:rsidP="009862B0">
      <w:pPr>
        <w:keepNext/>
        <w:spacing w:before="240" w:after="120"/>
        <w:outlineLvl w:val="2"/>
        <w:rPr>
          <w:b/>
          <w:bCs/>
          <w:u w:val="single"/>
        </w:rPr>
      </w:pPr>
      <w:r w:rsidRPr="009569E1">
        <w:rPr>
          <w:b/>
          <w:bCs/>
          <w:u w:val="single"/>
        </w:rPr>
        <w:t>Resources</w:t>
      </w:r>
    </w:p>
    <w:p w:rsidR="0022223F" w:rsidRPr="00F61E1E" w:rsidRDefault="0022223F" w:rsidP="00F61E1E">
      <w:pPr>
        <w:pStyle w:val="ListParagraph"/>
        <w:keepNext/>
        <w:numPr>
          <w:ilvl w:val="0"/>
          <w:numId w:val="47"/>
        </w:numPr>
        <w:ind w:hanging="720"/>
        <w:jc w:val="both"/>
        <w:outlineLvl w:val="1"/>
        <w:rPr>
          <w:kern w:val="32"/>
        </w:rPr>
      </w:pPr>
      <w:r w:rsidRPr="00F61E1E">
        <w:rPr>
          <w:kern w:val="32"/>
        </w:rPr>
        <w:t xml:space="preserve">As at Quarter 1 the forecast was £18.786m, 100% of the Resource’s 2014/15 capital budget. At Quarter 2 the revised forecast is £16.976m, 91% of the budget and a reduction when compared to Quarter 1. </w:t>
      </w:r>
    </w:p>
    <w:p w:rsidR="0022223F" w:rsidRDefault="0022223F" w:rsidP="00834EE7">
      <w:pPr>
        <w:keepNext/>
        <w:outlineLvl w:val="1"/>
        <w:rPr>
          <w:kern w:val="32"/>
        </w:rPr>
      </w:pPr>
    </w:p>
    <w:p w:rsidR="0022223F" w:rsidRPr="00E274A3" w:rsidRDefault="0022223F" w:rsidP="00B965AC">
      <w:pPr>
        <w:pStyle w:val="ListParagraph"/>
        <w:keepNext/>
        <w:numPr>
          <w:ilvl w:val="0"/>
          <w:numId w:val="47"/>
        </w:numPr>
        <w:ind w:hanging="720"/>
        <w:jc w:val="both"/>
        <w:outlineLvl w:val="1"/>
        <w:rPr>
          <w:kern w:val="32"/>
        </w:rPr>
      </w:pPr>
      <w:r w:rsidRPr="00280A87">
        <w:rPr>
          <w:kern w:val="32"/>
        </w:rPr>
        <w:t>The forecast under spend is £1.699m of which £885k will be slipped into 2015/16</w:t>
      </w:r>
      <w:r>
        <w:rPr>
          <w:kern w:val="32"/>
        </w:rPr>
        <w:t xml:space="preserve">and </w:t>
      </w:r>
      <w:r w:rsidRPr="00280A87">
        <w:rPr>
          <w:kern w:val="32"/>
        </w:rPr>
        <w:t>£814k</w:t>
      </w:r>
      <w:r>
        <w:rPr>
          <w:kern w:val="32"/>
        </w:rPr>
        <w:t xml:space="preserve">of the </w:t>
      </w:r>
      <w:r w:rsidRPr="00280A87">
        <w:rPr>
          <w:kern w:val="32"/>
        </w:rPr>
        <w:t xml:space="preserve">budget </w:t>
      </w:r>
      <w:r>
        <w:rPr>
          <w:kern w:val="32"/>
        </w:rPr>
        <w:t>is no longer r</w:t>
      </w:r>
      <w:r w:rsidRPr="00280A87">
        <w:rPr>
          <w:kern w:val="32"/>
        </w:rPr>
        <w:t>equired</w:t>
      </w:r>
      <w:r>
        <w:rPr>
          <w:kern w:val="32"/>
        </w:rPr>
        <w:t xml:space="preserve">. </w:t>
      </w:r>
      <w:r w:rsidRPr="00280A87">
        <w:t>The main item</w:t>
      </w:r>
      <w:r>
        <w:t>s for sl</w:t>
      </w:r>
      <w:r w:rsidRPr="00280A87">
        <w:t>ippage</w:t>
      </w:r>
      <w:r>
        <w:t xml:space="preserve"> are detailed below:</w:t>
      </w:r>
    </w:p>
    <w:p w:rsidR="0022223F" w:rsidRPr="00E274A3" w:rsidRDefault="0022223F" w:rsidP="00E274A3">
      <w:pPr>
        <w:keepNext/>
        <w:jc w:val="both"/>
        <w:outlineLvl w:val="1"/>
        <w:rPr>
          <w:kern w:val="32"/>
        </w:rPr>
      </w:pPr>
    </w:p>
    <w:p w:rsidR="0022223F" w:rsidRPr="00FF08D8" w:rsidRDefault="0022223F" w:rsidP="00DA79AC">
      <w:pPr>
        <w:pStyle w:val="ListParagraph"/>
        <w:numPr>
          <w:ilvl w:val="0"/>
          <w:numId w:val="48"/>
        </w:numPr>
        <w:spacing w:after="240"/>
        <w:jc w:val="both"/>
      </w:pPr>
      <w:r w:rsidRPr="00FF08D8">
        <w:t>Delay in agreeing schemes with Capita have meant that the SAP/Financial ledger and System Improvement projectwill result in £177kunderspend in 14/15.</w:t>
      </w:r>
    </w:p>
    <w:p w:rsidR="0022223F" w:rsidRDefault="0022223F" w:rsidP="00DA79AC">
      <w:pPr>
        <w:pStyle w:val="ListParagraph"/>
        <w:numPr>
          <w:ilvl w:val="1"/>
          <w:numId w:val="47"/>
        </w:numPr>
        <w:spacing w:after="240"/>
        <w:jc w:val="both"/>
      </w:pPr>
      <w:r w:rsidRPr="00564FC9">
        <w:t>The expected payment to WLWA in respect of a loan for infrastructure is currently projected to slip by £</w:t>
      </w:r>
      <w:r>
        <w:t>448k</w:t>
      </w:r>
      <w:r w:rsidRPr="00564FC9">
        <w:t>, based on the latest payment profile supplied by the WLWA.</w:t>
      </w:r>
    </w:p>
    <w:p w:rsidR="0022223F" w:rsidRDefault="0022223F" w:rsidP="00DA79AC">
      <w:pPr>
        <w:pStyle w:val="ListParagraph"/>
        <w:numPr>
          <w:ilvl w:val="1"/>
          <w:numId w:val="47"/>
        </w:numPr>
        <w:spacing w:after="240"/>
        <w:jc w:val="both"/>
      </w:pPr>
      <w:r>
        <w:t xml:space="preserve">Mobile and Flex project payments are re-profiled resulting in £100k slippage. </w:t>
      </w:r>
    </w:p>
    <w:p w:rsidR="0022223F" w:rsidRDefault="0022223F" w:rsidP="00DA79AC">
      <w:pPr>
        <w:pStyle w:val="ListParagraph"/>
        <w:numPr>
          <w:ilvl w:val="1"/>
          <w:numId w:val="47"/>
        </w:numPr>
        <w:spacing w:after="240"/>
        <w:jc w:val="both"/>
      </w:pPr>
      <w:r>
        <w:t>Small schemes will slip £70k.</w:t>
      </w:r>
    </w:p>
    <w:p w:rsidR="0022223F" w:rsidRDefault="0022223F" w:rsidP="00DA79AC">
      <w:pPr>
        <w:pStyle w:val="ListParagraph"/>
        <w:numPr>
          <w:ilvl w:val="1"/>
          <w:numId w:val="47"/>
        </w:numPr>
        <w:spacing w:after="240"/>
        <w:jc w:val="both"/>
      </w:pPr>
      <w:r>
        <w:t>The ICT Infrastructure and Corporate Application Project will slip £90k due to the delivery date being moved back.</w:t>
      </w:r>
    </w:p>
    <w:p w:rsidR="0022223F" w:rsidRPr="00F61E1E" w:rsidRDefault="0022223F" w:rsidP="00DA79AC">
      <w:pPr>
        <w:pStyle w:val="ListParagraph"/>
        <w:numPr>
          <w:ilvl w:val="0"/>
          <w:numId w:val="47"/>
        </w:numPr>
        <w:spacing w:after="240"/>
        <w:ind w:hanging="720"/>
        <w:jc w:val="both"/>
      </w:pPr>
      <w:r>
        <w:t xml:space="preserve">£814k of budget is being forecast as no longer required as detailed below: </w:t>
      </w:r>
    </w:p>
    <w:p w:rsidR="0022223F" w:rsidRDefault="0022223F" w:rsidP="00DA79AC">
      <w:pPr>
        <w:pStyle w:val="ListParagraph"/>
        <w:numPr>
          <w:ilvl w:val="1"/>
          <w:numId w:val="47"/>
        </w:numPr>
        <w:spacing w:after="240"/>
        <w:jc w:val="both"/>
      </w:pPr>
      <w:r>
        <w:t>13/14 Business Transformation Programme Refresh project budget of £213k that was carried forward from last financial year will no longer be needed. The allocated 14/15 budget for this same programme will be sufficient to carry out all the works that are needed this year.</w:t>
      </w:r>
    </w:p>
    <w:p w:rsidR="0022223F" w:rsidRDefault="0022223F" w:rsidP="00DA79AC">
      <w:pPr>
        <w:pStyle w:val="ListParagraph"/>
        <w:numPr>
          <w:ilvl w:val="1"/>
          <w:numId w:val="47"/>
        </w:numPr>
        <w:spacing w:after="240"/>
        <w:jc w:val="both"/>
      </w:pPr>
      <w:r>
        <w:t>£50k</w:t>
      </w:r>
      <w:r w:rsidRPr="00564FC9">
        <w:t>was origin</w:t>
      </w:r>
      <w:r>
        <w:t>ally classified as capital cost and</w:t>
      </w:r>
      <w:r w:rsidRPr="00564FC9">
        <w:t xml:space="preserve"> has now been review</w:t>
      </w:r>
      <w:r>
        <w:t>ed</w:t>
      </w:r>
      <w:r w:rsidRPr="00564FC9">
        <w:t xml:space="preserve"> and re-classified as revenue</w:t>
      </w:r>
      <w:r>
        <w:t xml:space="preserve">. </w:t>
      </w:r>
    </w:p>
    <w:p w:rsidR="0022223F" w:rsidRDefault="0022223F" w:rsidP="00DA79AC">
      <w:pPr>
        <w:pStyle w:val="ListParagraph"/>
        <w:numPr>
          <w:ilvl w:val="1"/>
          <w:numId w:val="47"/>
        </w:numPr>
        <w:spacing w:after="240"/>
        <w:jc w:val="both"/>
      </w:pPr>
      <w:r>
        <w:t xml:space="preserve">Of the £500k contingency budget for the 14/15 IT corporate system refresh project, nothing has been spent  to date and £200k is being forecast as underspent  based of the profile of spend last year.  </w:t>
      </w:r>
    </w:p>
    <w:p w:rsidR="0022223F" w:rsidRDefault="0022223F" w:rsidP="00DA79AC">
      <w:pPr>
        <w:pStyle w:val="ListParagraph"/>
        <w:numPr>
          <w:ilvl w:val="1"/>
          <w:numId w:val="47"/>
        </w:numPr>
        <w:spacing w:after="240"/>
        <w:jc w:val="both"/>
      </w:pPr>
      <w:r>
        <w:t>A cheaper option identified for the CRM replacement has released £250k of budget.</w:t>
      </w:r>
    </w:p>
    <w:p w:rsidR="0022223F" w:rsidRDefault="0022223F" w:rsidP="00DA79AC">
      <w:pPr>
        <w:pStyle w:val="ListParagraph"/>
        <w:numPr>
          <w:ilvl w:val="1"/>
          <w:numId w:val="47"/>
        </w:numPr>
        <w:spacing w:after="240"/>
        <w:jc w:val="both"/>
      </w:pPr>
      <w:r>
        <w:t xml:space="preserve">The 13/14 BTP Hardware Refresh has spent £75k less than anticipated on laptops and Wyse boxes. </w:t>
      </w:r>
    </w:p>
    <w:p w:rsidR="0022223F" w:rsidRDefault="0022223F" w:rsidP="00DA79AC">
      <w:pPr>
        <w:pStyle w:val="ListParagraph"/>
        <w:numPr>
          <w:ilvl w:val="1"/>
          <w:numId w:val="47"/>
        </w:numPr>
        <w:spacing w:after="240"/>
        <w:jc w:val="both"/>
      </w:pPr>
      <w:r>
        <w:t>The budget of £80k earmarked for WI-FI will no longer be required as this has been subsumed within another project already commission.</w:t>
      </w:r>
    </w:p>
    <w:p w:rsidR="0022223F" w:rsidRPr="00CA71F4" w:rsidRDefault="0022223F" w:rsidP="00515270"/>
    <w:p w:rsidR="0022223F" w:rsidRDefault="0022223F" w:rsidP="00515270">
      <w:pPr>
        <w:rPr>
          <w:b/>
          <w:bCs/>
          <w:u w:val="single"/>
        </w:rPr>
      </w:pPr>
      <w:r w:rsidRPr="00364B89">
        <w:rPr>
          <w:b/>
          <w:bCs/>
          <w:u w:val="single"/>
        </w:rPr>
        <w:t>Environment &amp; Enterprise</w:t>
      </w:r>
    </w:p>
    <w:p w:rsidR="0022223F" w:rsidRPr="002A20D2" w:rsidRDefault="0022223F" w:rsidP="00DA79AC">
      <w:pPr>
        <w:pStyle w:val="ListParagraph"/>
        <w:keepNext/>
        <w:numPr>
          <w:ilvl w:val="0"/>
          <w:numId w:val="47"/>
        </w:numPr>
        <w:ind w:hanging="720"/>
        <w:jc w:val="both"/>
        <w:outlineLvl w:val="1"/>
        <w:rPr>
          <w:kern w:val="32"/>
        </w:rPr>
      </w:pPr>
      <w:r w:rsidRPr="002A20D2">
        <w:rPr>
          <w:kern w:val="32"/>
        </w:rPr>
        <w:t>As at Quarter 1 the forecast was £24.857m, 97% of the E&amp;E’s 2014/15 capital budget. At Quarter 2 the revised forecast is £22.</w:t>
      </w:r>
      <w:r>
        <w:rPr>
          <w:kern w:val="32"/>
        </w:rPr>
        <w:t>241</w:t>
      </w:r>
      <w:r w:rsidRPr="002A20D2">
        <w:rPr>
          <w:kern w:val="32"/>
        </w:rPr>
        <w:t xml:space="preserve">m, 87% of the budget and a </w:t>
      </w:r>
      <w:r>
        <w:rPr>
          <w:kern w:val="32"/>
        </w:rPr>
        <w:t xml:space="preserve">10% </w:t>
      </w:r>
      <w:r w:rsidRPr="002A20D2">
        <w:rPr>
          <w:kern w:val="32"/>
        </w:rPr>
        <w:t xml:space="preserve">reduction when compared to Quarter 1.  </w:t>
      </w:r>
    </w:p>
    <w:p w:rsidR="0022223F" w:rsidRDefault="0022223F" w:rsidP="00DA79AC">
      <w:pPr>
        <w:keepNext/>
        <w:jc w:val="both"/>
        <w:outlineLvl w:val="1"/>
        <w:rPr>
          <w:kern w:val="32"/>
        </w:rPr>
      </w:pPr>
    </w:p>
    <w:p w:rsidR="0022223F" w:rsidRDefault="0022223F" w:rsidP="00DA79AC">
      <w:pPr>
        <w:pStyle w:val="ListParagraph"/>
        <w:keepNext/>
        <w:numPr>
          <w:ilvl w:val="0"/>
          <w:numId w:val="47"/>
        </w:numPr>
        <w:ind w:hanging="720"/>
        <w:jc w:val="both"/>
        <w:outlineLvl w:val="1"/>
        <w:rPr>
          <w:kern w:val="32"/>
        </w:rPr>
      </w:pPr>
      <w:r w:rsidRPr="00067F8C">
        <w:rPr>
          <w:kern w:val="32"/>
        </w:rPr>
        <w:t>The forecast under spend is £2.8</w:t>
      </w:r>
      <w:r>
        <w:rPr>
          <w:kern w:val="32"/>
        </w:rPr>
        <w:t>15</w:t>
      </w:r>
      <w:r w:rsidRPr="00067F8C">
        <w:rPr>
          <w:kern w:val="32"/>
        </w:rPr>
        <w:t>m of which £2.715m will be slipped into 2015/16 while £1</w:t>
      </w:r>
      <w:r>
        <w:rPr>
          <w:kern w:val="32"/>
        </w:rPr>
        <w:t>0</w:t>
      </w:r>
      <w:r w:rsidRPr="00067F8C">
        <w:rPr>
          <w:kern w:val="32"/>
        </w:rPr>
        <w:t>0kbudget will no longer be required.</w:t>
      </w:r>
    </w:p>
    <w:p w:rsidR="0022223F" w:rsidRPr="00067F8C" w:rsidRDefault="0022223F" w:rsidP="00DA79AC">
      <w:pPr>
        <w:pStyle w:val="ListParagraph"/>
        <w:jc w:val="both"/>
        <w:rPr>
          <w:kern w:val="32"/>
        </w:rPr>
      </w:pPr>
    </w:p>
    <w:p w:rsidR="0022223F" w:rsidRPr="00067F8C" w:rsidRDefault="0022223F" w:rsidP="00DA79AC">
      <w:pPr>
        <w:pStyle w:val="ListParagraph"/>
        <w:keepNext/>
        <w:numPr>
          <w:ilvl w:val="0"/>
          <w:numId w:val="47"/>
        </w:numPr>
        <w:ind w:hanging="720"/>
        <w:jc w:val="both"/>
        <w:outlineLvl w:val="1"/>
        <w:rPr>
          <w:kern w:val="32"/>
        </w:rPr>
      </w:pPr>
      <w:r w:rsidRPr="00067F8C">
        <w:t>The main items of</w:t>
      </w:r>
      <w:r>
        <w:t xml:space="preserve"> slippage and reasons are detailed below:</w:t>
      </w:r>
    </w:p>
    <w:p w:rsidR="0022223F" w:rsidRPr="00067F8C" w:rsidRDefault="0022223F" w:rsidP="00DA79AC">
      <w:pPr>
        <w:pStyle w:val="ListParagraph"/>
        <w:numPr>
          <w:ilvl w:val="0"/>
          <w:numId w:val="49"/>
        </w:numPr>
        <w:jc w:val="both"/>
      </w:pPr>
      <w:r w:rsidRPr="00067F8C">
        <w:t>Pinner Park Farm £350k.  2014</w:t>
      </w:r>
      <w:r>
        <w:t>/</w:t>
      </w:r>
      <w:r w:rsidRPr="00067F8C">
        <w:t>15 focused on consultation and planning and the work is anticipated for delivery in 2015/16.</w:t>
      </w:r>
    </w:p>
    <w:p w:rsidR="0022223F" w:rsidRDefault="0022223F" w:rsidP="00B921C7">
      <w:pPr>
        <w:ind w:left="709"/>
      </w:pPr>
    </w:p>
    <w:p w:rsidR="0022223F" w:rsidRPr="00067F8C" w:rsidRDefault="0022223F" w:rsidP="00067F8C">
      <w:pPr>
        <w:pStyle w:val="ListParagraph"/>
        <w:numPr>
          <w:ilvl w:val="0"/>
          <w:numId w:val="49"/>
        </w:numPr>
        <w:jc w:val="both"/>
      </w:pPr>
      <w:r w:rsidRPr="00067F8C">
        <w:t xml:space="preserve">Green Grid £276k – A number of sec 106 projects are in </w:t>
      </w:r>
      <w:r>
        <w:t xml:space="preserve">the </w:t>
      </w:r>
      <w:r w:rsidRPr="00067F8C">
        <w:t>planning stage</w:t>
      </w:r>
      <w:r>
        <w:t xml:space="preserve"> and </w:t>
      </w:r>
      <w:r w:rsidRPr="00067F8C">
        <w:t>it is anticipated that th</w:t>
      </w:r>
      <w:r>
        <w:t>ese</w:t>
      </w:r>
      <w:r w:rsidRPr="00067F8C">
        <w:t xml:space="preserve"> schemes will be delivered in 15/16.</w:t>
      </w:r>
    </w:p>
    <w:p w:rsidR="0022223F" w:rsidRDefault="0022223F" w:rsidP="00067F8C">
      <w:pPr>
        <w:ind w:left="709"/>
        <w:jc w:val="both"/>
      </w:pPr>
    </w:p>
    <w:p w:rsidR="0022223F" w:rsidRPr="00067F8C" w:rsidRDefault="0022223F" w:rsidP="00067F8C">
      <w:pPr>
        <w:pStyle w:val="ListParagraph"/>
        <w:numPr>
          <w:ilvl w:val="0"/>
          <w:numId w:val="49"/>
        </w:numPr>
        <w:jc w:val="both"/>
      </w:pPr>
      <w:r w:rsidRPr="00067F8C">
        <w:t xml:space="preserve">Neighbourhood Investment Scheme £200k – Members have already approved various schemes and a considerable sum will contribute to Green Gym installationthis year. It is anticipated that the </w:t>
      </w:r>
      <w:r>
        <w:t>£</w:t>
      </w:r>
      <w:r w:rsidRPr="00067F8C">
        <w:t>200k budget will be carried forward to be spend in early 15/16.</w:t>
      </w:r>
    </w:p>
    <w:p w:rsidR="0022223F" w:rsidRDefault="0022223F" w:rsidP="00B921C7">
      <w:pPr>
        <w:ind w:left="709"/>
      </w:pPr>
    </w:p>
    <w:p w:rsidR="0022223F" w:rsidRPr="00067F8C" w:rsidRDefault="0022223F" w:rsidP="00067F8C">
      <w:pPr>
        <w:pStyle w:val="ListParagraph"/>
        <w:numPr>
          <w:ilvl w:val="0"/>
          <w:numId w:val="49"/>
        </w:numPr>
        <w:jc w:val="both"/>
      </w:pPr>
      <w:r w:rsidRPr="00067F8C">
        <w:t xml:space="preserve">CCTV Crime reduction cameras </w:t>
      </w:r>
      <w:r>
        <w:t>£</w:t>
      </w:r>
      <w:r w:rsidRPr="00067F8C">
        <w:t>468k</w:t>
      </w:r>
      <w:r>
        <w:t xml:space="preserve"> - </w:t>
      </w:r>
      <w:r w:rsidRPr="00067F8C">
        <w:t>Camera allocation has been identified and the service is in the process of agreeing the details and delivery timetable with the framework contractor. There is a long lead</w:t>
      </w:r>
      <w:r>
        <w:t xml:space="preserve"> in </w:t>
      </w:r>
      <w:r w:rsidRPr="00067F8C">
        <w:t>time before the cameras become operational.</w:t>
      </w:r>
    </w:p>
    <w:p w:rsidR="0022223F" w:rsidRDefault="0022223F" w:rsidP="00B921C7">
      <w:pPr>
        <w:pStyle w:val="ListParagraph"/>
      </w:pPr>
    </w:p>
    <w:p w:rsidR="0022223F" w:rsidRDefault="0022223F" w:rsidP="005A6873">
      <w:pPr>
        <w:pStyle w:val="ListParagraph"/>
        <w:numPr>
          <w:ilvl w:val="0"/>
          <w:numId w:val="49"/>
        </w:numPr>
        <w:spacing w:after="240"/>
      </w:pPr>
      <w:r w:rsidRPr="00067F8C">
        <w:t>Public Realm - £1.364m because we are still awaiting Capita to provide a detailed delivery plan.</w:t>
      </w:r>
    </w:p>
    <w:p w:rsidR="0022223F" w:rsidRPr="005A6873" w:rsidRDefault="0022223F" w:rsidP="005A6873">
      <w:pPr>
        <w:pStyle w:val="ListParagraph"/>
      </w:pPr>
    </w:p>
    <w:p w:rsidR="0022223F" w:rsidRPr="005A6873" w:rsidRDefault="0022223F" w:rsidP="005A6873">
      <w:pPr>
        <w:pStyle w:val="ListParagraph"/>
        <w:spacing w:after="240"/>
        <w:ind w:left="1429"/>
      </w:pPr>
    </w:p>
    <w:p w:rsidR="0022223F" w:rsidRDefault="0022223F" w:rsidP="00067F8C">
      <w:pPr>
        <w:pStyle w:val="ListParagraph"/>
        <w:numPr>
          <w:ilvl w:val="0"/>
          <w:numId w:val="47"/>
        </w:numPr>
        <w:spacing w:after="240"/>
        <w:ind w:hanging="720"/>
      </w:pPr>
      <w:r>
        <w:t xml:space="preserve">The Public Realm scheme for £100k re: litter bins is on hold and an under spend is forecast. </w:t>
      </w:r>
    </w:p>
    <w:p w:rsidR="0022223F" w:rsidRDefault="0022223F">
      <w:pPr>
        <w:rPr>
          <w:b/>
          <w:bCs/>
          <w:u w:val="single"/>
        </w:rPr>
      </w:pPr>
      <w:r>
        <w:rPr>
          <w:b/>
          <w:bCs/>
          <w:u w:val="single"/>
        </w:rPr>
        <w:br w:type="page"/>
      </w:r>
    </w:p>
    <w:p w:rsidR="0022223F" w:rsidRDefault="0022223F" w:rsidP="00515270">
      <w:pPr>
        <w:rPr>
          <w:b/>
          <w:bCs/>
          <w:u w:val="single"/>
        </w:rPr>
      </w:pPr>
      <w:r w:rsidRPr="00F17B58">
        <w:rPr>
          <w:b/>
          <w:bCs/>
          <w:u w:val="single"/>
        </w:rPr>
        <w:t>Housing Revenue Account</w:t>
      </w:r>
    </w:p>
    <w:p w:rsidR="0022223F" w:rsidRPr="00E978CB" w:rsidRDefault="0022223F" w:rsidP="00E978CB">
      <w:pPr>
        <w:pStyle w:val="ListParagraph"/>
        <w:keepNext/>
        <w:numPr>
          <w:ilvl w:val="0"/>
          <w:numId w:val="47"/>
        </w:numPr>
        <w:ind w:hanging="720"/>
        <w:jc w:val="both"/>
        <w:outlineLvl w:val="1"/>
        <w:rPr>
          <w:kern w:val="32"/>
        </w:rPr>
      </w:pPr>
      <w:r w:rsidRPr="00E978CB">
        <w:rPr>
          <w:kern w:val="32"/>
        </w:rPr>
        <w:t xml:space="preserve">As at Quarter 1 the forecast was £8.719m, 83% of the HRA’s 2014/15 capital budget. At Quarter 2 the revised forecast is £6.865m, 66% of the budget and a significant reduction when compared to Quarter 1.  </w:t>
      </w:r>
    </w:p>
    <w:p w:rsidR="0022223F" w:rsidRDefault="0022223F" w:rsidP="00A538C3">
      <w:pPr>
        <w:keepNext/>
        <w:outlineLvl w:val="1"/>
        <w:rPr>
          <w:kern w:val="32"/>
        </w:rPr>
      </w:pPr>
    </w:p>
    <w:p w:rsidR="0022223F" w:rsidRPr="00CC2F4C" w:rsidRDefault="0022223F" w:rsidP="00F5779E">
      <w:pPr>
        <w:pStyle w:val="ListParagraph"/>
        <w:keepNext/>
        <w:numPr>
          <w:ilvl w:val="0"/>
          <w:numId w:val="47"/>
        </w:numPr>
        <w:spacing w:after="240"/>
        <w:ind w:hanging="720"/>
        <w:jc w:val="both"/>
        <w:outlineLvl w:val="1"/>
        <w:rPr>
          <w:b/>
          <w:bCs/>
          <w:u w:val="single"/>
        </w:rPr>
      </w:pPr>
      <w:r w:rsidRPr="00E978CB">
        <w:rPr>
          <w:kern w:val="32"/>
        </w:rPr>
        <w:t>The forecast under spend is £3.611m</w:t>
      </w:r>
      <w:r>
        <w:rPr>
          <w:kern w:val="32"/>
        </w:rPr>
        <w:t xml:space="preserve">. </w:t>
      </w:r>
      <w:r>
        <w:t>T</w:t>
      </w:r>
      <w:r w:rsidRPr="00CC2F4C">
        <w:rPr>
          <w:lang w:eastAsia="en-GB"/>
        </w:rPr>
        <w:t>his is as a consequence of better sequencing of work, tender savings and preparation works for the development of a four year capital programme and a new Better Homes standard. The HRA capital programme is currently forecasting spend in the region of 70% of the total programme. Any underspend will be retained in the HRA to be used in future programmes.</w:t>
      </w:r>
    </w:p>
    <w:p w:rsidR="0022223F" w:rsidRPr="0080088B" w:rsidRDefault="0022223F" w:rsidP="0080088B">
      <w:pPr>
        <w:rPr>
          <w:b/>
          <w:bCs/>
        </w:rPr>
      </w:pPr>
      <w:r>
        <w:rPr>
          <w:b/>
          <w:bCs/>
        </w:rPr>
        <w:t>Virements</w:t>
      </w:r>
    </w:p>
    <w:p w:rsidR="0022223F" w:rsidRDefault="0022223F" w:rsidP="009862B0">
      <w:pPr>
        <w:pStyle w:val="ListParagraph"/>
        <w:numPr>
          <w:ilvl w:val="0"/>
          <w:numId w:val="47"/>
        </w:numPr>
        <w:spacing w:after="240"/>
        <w:ind w:hanging="720"/>
      </w:pPr>
      <w:r>
        <w:t xml:space="preserve">There are no virements at Quarter 2. </w:t>
      </w:r>
    </w:p>
    <w:p w:rsidR="0022223F" w:rsidRPr="00BC7A37" w:rsidRDefault="0022223F" w:rsidP="009862B0">
      <w:pPr>
        <w:rPr>
          <w:b/>
          <w:bCs/>
        </w:rPr>
      </w:pPr>
      <w:r w:rsidRPr="00BC7A37">
        <w:rPr>
          <w:b/>
          <w:bCs/>
        </w:rPr>
        <w:t xml:space="preserve">Amendments to Capital Programme </w:t>
      </w:r>
    </w:p>
    <w:p w:rsidR="0022223F" w:rsidRDefault="0022223F" w:rsidP="00314B0F">
      <w:pPr>
        <w:pStyle w:val="ListParagraph"/>
        <w:numPr>
          <w:ilvl w:val="0"/>
          <w:numId w:val="47"/>
        </w:numPr>
        <w:spacing w:after="240"/>
        <w:ind w:hanging="720"/>
        <w:jc w:val="both"/>
      </w:pPr>
      <w:r>
        <w:t>The following schemes in the capital programme have been amended to reflect changes in the amount of grant funding available, resulting in an overall reduction in the programme of £761k.</w:t>
      </w:r>
    </w:p>
    <w:p w:rsidR="0022223F" w:rsidRDefault="0022223F" w:rsidP="009862B0"/>
    <w:p w:rsidR="0022223F" w:rsidRPr="00B351FC" w:rsidRDefault="0022223F" w:rsidP="009862B0">
      <w:pPr>
        <w:rPr>
          <w:b/>
          <w:bCs/>
        </w:rPr>
      </w:pPr>
      <w:r w:rsidRPr="00B351FC">
        <w:rPr>
          <w:b/>
          <w:bCs/>
        </w:rPr>
        <w:t>Table 7: 2014/15 Capital Programme Amendments</w:t>
      </w:r>
    </w:p>
    <w:tbl>
      <w:tblPr>
        <w:tblW w:w="8946" w:type="dxa"/>
        <w:tblInd w:w="-106" w:type="dxa"/>
        <w:tblLook w:val="00A0"/>
      </w:tblPr>
      <w:tblGrid>
        <w:gridCol w:w="2740"/>
        <w:gridCol w:w="5213"/>
        <w:gridCol w:w="993"/>
      </w:tblGrid>
      <w:tr w:rsidR="0022223F" w:rsidRPr="009A460A">
        <w:trPr>
          <w:trHeight w:val="285"/>
        </w:trPr>
        <w:tc>
          <w:tcPr>
            <w:tcW w:w="2740" w:type="dxa"/>
            <w:tcBorders>
              <w:top w:val="single" w:sz="4" w:space="0" w:color="auto"/>
              <w:left w:val="single" w:sz="4" w:space="0" w:color="auto"/>
              <w:bottom w:val="single" w:sz="4" w:space="0" w:color="auto"/>
              <w:right w:val="single" w:sz="4" w:space="0" w:color="auto"/>
            </w:tcBorders>
            <w:vAlign w:val="bottom"/>
          </w:tcPr>
          <w:p w:rsidR="0022223F" w:rsidRPr="009A460A" w:rsidRDefault="0022223F" w:rsidP="009862B0">
            <w:pPr>
              <w:rPr>
                <w:b/>
                <w:bCs/>
                <w:color w:val="000000"/>
                <w:sz w:val="20"/>
                <w:szCs w:val="20"/>
                <w:lang w:eastAsia="en-GB"/>
              </w:rPr>
            </w:pPr>
            <w:r w:rsidRPr="009A460A">
              <w:rPr>
                <w:b/>
                <w:bCs/>
                <w:color w:val="000000"/>
                <w:sz w:val="20"/>
                <w:szCs w:val="20"/>
                <w:lang w:eastAsia="en-GB"/>
              </w:rPr>
              <w:t>Scheme</w:t>
            </w:r>
          </w:p>
        </w:tc>
        <w:tc>
          <w:tcPr>
            <w:tcW w:w="5213" w:type="dxa"/>
            <w:tcBorders>
              <w:top w:val="single" w:sz="4" w:space="0" w:color="auto"/>
              <w:left w:val="nil"/>
              <w:bottom w:val="single" w:sz="4" w:space="0" w:color="auto"/>
              <w:right w:val="single" w:sz="4" w:space="0" w:color="auto"/>
            </w:tcBorders>
            <w:noWrap/>
            <w:vAlign w:val="bottom"/>
          </w:tcPr>
          <w:p w:rsidR="0022223F" w:rsidRPr="009A460A" w:rsidRDefault="0022223F" w:rsidP="009862B0">
            <w:pPr>
              <w:rPr>
                <w:b/>
                <w:bCs/>
                <w:color w:val="000000"/>
                <w:sz w:val="20"/>
                <w:szCs w:val="20"/>
                <w:lang w:eastAsia="en-GB"/>
              </w:rPr>
            </w:pPr>
            <w:r w:rsidRPr="009A460A">
              <w:rPr>
                <w:b/>
                <w:bCs/>
                <w:color w:val="000000"/>
                <w:sz w:val="20"/>
                <w:szCs w:val="20"/>
                <w:lang w:eastAsia="en-GB"/>
              </w:rPr>
              <w:t>Comment</w:t>
            </w:r>
          </w:p>
        </w:tc>
        <w:tc>
          <w:tcPr>
            <w:tcW w:w="993" w:type="dxa"/>
            <w:tcBorders>
              <w:top w:val="single" w:sz="4" w:space="0" w:color="auto"/>
              <w:left w:val="nil"/>
              <w:bottom w:val="single" w:sz="4" w:space="0" w:color="auto"/>
              <w:right w:val="single" w:sz="4" w:space="0" w:color="auto"/>
            </w:tcBorders>
            <w:noWrap/>
            <w:vAlign w:val="bottom"/>
          </w:tcPr>
          <w:p w:rsidR="0022223F" w:rsidRPr="009A460A" w:rsidRDefault="0022223F" w:rsidP="009862B0">
            <w:pPr>
              <w:jc w:val="right"/>
              <w:rPr>
                <w:b/>
                <w:bCs/>
                <w:color w:val="000000"/>
                <w:sz w:val="20"/>
                <w:szCs w:val="20"/>
                <w:lang w:eastAsia="en-GB"/>
              </w:rPr>
            </w:pPr>
            <w:r w:rsidRPr="009A460A">
              <w:rPr>
                <w:b/>
                <w:bCs/>
                <w:color w:val="000000"/>
                <w:sz w:val="20"/>
                <w:szCs w:val="20"/>
                <w:lang w:eastAsia="en-GB"/>
              </w:rPr>
              <w:t>£000</w:t>
            </w:r>
          </w:p>
        </w:tc>
      </w:tr>
      <w:tr w:rsidR="0022223F" w:rsidRPr="009A460A">
        <w:trPr>
          <w:trHeight w:val="510"/>
        </w:trPr>
        <w:tc>
          <w:tcPr>
            <w:tcW w:w="2740" w:type="dxa"/>
            <w:tcBorders>
              <w:top w:val="nil"/>
              <w:left w:val="single" w:sz="4" w:space="0" w:color="auto"/>
              <w:bottom w:val="single" w:sz="4" w:space="0" w:color="auto"/>
              <w:right w:val="single" w:sz="4" w:space="0" w:color="auto"/>
            </w:tcBorders>
          </w:tcPr>
          <w:p w:rsidR="0022223F" w:rsidRPr="009A460A" w:rsidRDefault="0022223F" w:rsidP="00CF5E96">
            <w:pPr>
              <w:rPr>
                <w:sz w:val="20"/>
                <w:szCs w:val="20"/>
                <w:lang w:eastAsia="en-GB"/>
              </w:rPr>
            </w:pPr>
            <w:r>
              <w:rPr>
                <w:sz w:val="20"/>
                <w:szCs w:val="20"/>
                <w:lang w:eastAsia="en-GB"/>
              </w:rPr>
              <w:t xml:space="preserve">14/15 Carbon Reduction Project </w:t>
            </w:r>
          </w:p>
        </w:tc>
        <w:tc>
          <w:tcPr>
            <w:tcW w:w="5213" w:type="dxa"/>
            <w:tcBorders>
              <w:top w:val="nil"/>
              <w:left w:val="nil"/>
              <w:bottom w:val="single" w:sz="4" w:space="0" w:color="auto"/>
              <w:right w:val="single" w:sz="4" w:space="0" w:color="auto"/>
            </w:tcBorders>
          </w:tcPr>
          <w:p w:rsidR="0022223F" w:rsidRPr="009A460A" w:rsidRDefault="0022223F" w:rsidP="00C7416E">
            <w:pPr>
              <w:rPr>
                <w:color w:val="000000"/>
                <w:sz w:val="20"/>
                <w:szCs w:val="20"/>
                <w:lang w:eastAsia="en-GB"/>
              </w:rPr>
            </w:pPr>
            <w:r w:rsidRPr="00925907">
              <w:rPr>
                <w:color w:val="000000"/>
                <w:sz w:val="22"/>
                <w:szCs w:val="22"/>
                <w:lang w:eastAsia="en-GB"/>
              </w:rPr>
              <w:t xml:space="preserve">The original programme estimated </w:t>
            </w:r>
            <w:r>
              <w:rPr>
                <w:color w:val="000000"/>
                <w:sz w:val="22"/>
                <w:szCs w:val="22"/>
                <w:lang w:eastAsia="en-GB"/>
              </w:rPr>
              <w:t xml:space="preserve">a </w:t>
            </w:r>
            <w:r w:rsidRPr="00925907">
              <w:rPr>
                <w:color w:val="000000"/>
                <w:sz w:val="22"/>
                <w:szCs w:val="22"/>
                <w:lang w:eastAsia="en-GB"/>
              </w:rPr>
              <w:t xml:space="preserve">loan of £1m </w:t>
            </w:r>
            <w:r>
              <w:rPr>
                <w:color w:val="000000"/>
                <w:sz w:val="22"/>
                <w:szCs w:val="22"/>
                <w:lang w:eastAsia="en-GB"/>
              </w:rPr>
              <w:t>to engage</w:t>
            </w:r>
            <w:r w:rsidRPr="00925907">
              <w:rPr>
                <w:color w:val="000000"/>
                <w:sz w:val="22"/>
                <w:szCs w:val="22"/>
                <w:lang w:eastAsia="en-GB"/>
              </w:rPr>
              <w:t xml:space="preserve"> at least 10 schools in the refit project with an average spend of </w:t>
            </w:r>
            <w:r>
              <w:rPr>
                <w:color w:val="000000"/>
                <w:sz w:val="22"/>
                <w:szCs w:val="22"/>
                <w:lang w:eastAsia="en-GB"/>
              </w:rPr>
              <w:t>£</w:t>
            </w:r>
            <w:r w:rsidRPr="00925907">
              <w:rPr>
                <w:color w:val="000000"/>
                <w:sz w:val="22"/>
                <w:szCs w:val="22"/>
                <w:lang w:eastAsia="en-GB"/>
              </w:rPr>
              <w:t xml:space="preserve">100k including boilers. The school expansion programme means </w:t>
            </w:r>
            <w:r>
              <w:rPr>
                <w:color w:val="000000"/>
                <w:sz w:val="22"/>
                <w:szCs w:val="22"/>
                <w:lang w:eastAsia="en-GB"/>
              </w:rPr>
              <w:t>that,</w:t>
            </w:r>
            <w:r w:rsidRPr="00925907">
              <w:rPr>
                <w:color w:val="000000"/>
                <w:sz w:val="22"/>
                <w:szCs w:val="22"/>
                <w:lang w:eastAsia="en-GB"/>
              </w:rPr>
              <w:t>as some of the works (including boilers) are accommodated in the School expansion capital programme</w:t>
            </w:r>
            <w:r>
              <w:rPr>
                <w:color w:val="000000"/>
                <w:sz w:val="22"/>
                <w:szCs w:val="22"/>
                <w:lang w:eastAsia="en-GB"/>
              </w:rPr>
              <w:t xml:space="preserve">, </w:t>
            </w:r>
            <w:r w:rsidRPr="00925907">
              <w:rPr>
                <w:color w:val="000000"/>
                <w:sz w:val="22"/>
                <w:szCs w:val="22"/>
                <w:lang w:eastAsia="en-GB"/>
              </w:rPr>
              <w:t>a</w:t>
            </w:r>
            <w:r>
              <w:rPr>
                <w:color w:val="000000"/>
                <w:sz w:val="22"/>
                <w:szCs w:val="22"/>
                <w:lang w:eastAsia="en-GB"/>
              </w:rPr>
              <w:t xml:space="preserve"> reduced </w:t>
            </w:r>
            <w:r w:rsidRPr="00925907">
              <w:rPr>
                <w:color w:val="000000"/>
                <w:sz w:val="22"/>
                <w:szCs w:val="22"/>
                <w:lang w:eastAsia="en-GB"/>
              </w:rPr>
              <w:t xml:space="preserve"> loan from Salix is </w:t>
            </w:r>
            <w:r>
              <w:rPr>
                <w:color w:val="000000"/>
                <w:sz w:val="22"/>
                <w:szCs w:val="22"/>
                <w:lang w:eastAsia="en-GB"/>
              </w:rPr>
              <w:t xml:space="preserve">now </w:t>
            </w:r>
            <w:r w:rsidRPr="00925907">
              <w:rPr>
                <w:color w:val="000000"/>
                <w:sz w:val="22"/>
                <w:szCs w:val="22"/>
                <w:lang w:eastAsia="en-GB"/>
              </w:rPr>
              <w:t>required for this</w:t>
            </w:r>
            <w:r>
              <w:rPr>
                <w:color w:val="000000"/>
                <w:sz w:val="22"/>
                <w:szCs w:val="22"/>
                <w:lang w:eastAsia="en-GB"/>
              </w:rPr>
              <w:t xml:space="preserve"> year</w:t>
            </w:r>
            <w:r w:rsidRPr="00925907">
              <w:rPr>
                <w:color w:val="000000"/>
                <w:sz w:val="22"/>
                <w:szCs w:val="22"/>
                <w:lang w:eastAsia="en-GB"/>
              </w:rPr>
              <w:t xml:space="preserve">. </w:t>
            </w:r>
            <w:r>
              <w:rPr>
                <w:color w:val="000000"/>
                <w:sz w:val="22"/>
                <w:szCs w:val="22"/>
                <w:lang w:eastAsia="en-GB"/>
              </w:rPr>
              <w:t xml:space="preserve">In 2014/15 </w:t>
            </w:r>
            <w:r w:rsidRPr="00925907">
              <w:rPr>
                <w:color w:val="000000"/>
                <w:sz w:val="22"/>
                <w:szCs w:val="22"/>
                <w:lang w:eastAsia="en-GB"/>
              </w:rPr>
              <w:t>£350k will be borrowed  and the programme is being changed to reflect this. For future years capital programme, if a</w:t>
            </w:r>
            <w:r>
              <w:rPr>
                <w:color w:val="000000"/>
                <w:sz w:val="22"/>
                <w:szCs w:val="22"/>
                <w:lang w:eastAsia="en-GB"/>
              </w:rPr>
              <w:t>n</w:t>
            </w:r>
            <w:r w:rsidRPr="00925907">
              <w:rPr>
                <w:color w:val="000000"/>
                <w:sz w:val="22"/>
                <w:szCs w:val="22"/>
                <w:lang w:eastAsia="en-GB"/>
              </w:rPr>
              <w:t>y</w:t>
            </w:r>
            <w:r>
              <w:rPr>
                <w:color w:val="000000"/>
                <w:sz w:val="22"/>
                <w:szCs w:val="22"/>
                <w:lang w:eastAsia="en-GB"/>
              </w:rPr>
              <w:t xml:space="preserve"> further</w:t>
            </w:r>
            <w:r w:rsidRPr="00925907">
              <w:rPr>
                <w:color w:val="000000"/>
                <w:sz w:val="22"/>
                <w:szCs w:val="22"/>
                <w:lang w:eastAsia="en-GB"/>
              </w:rPr>
              <w:t xml:space="preserve"> borrowing is done, it will be added to the programme.</w:t>
            </w:r>
          </w:p>
        </w:tc>
        <w:tc>
          <w:tcPr>
            <w:tcW w:w="993" w:type="dxa"/>
            <w:tcBorders>
              <w:top w:val="nil"/>
              <w:left w:val="nil"/>
              <w:bottom w:val="single" w:sz="4" w:space="0" w:color="auto"/>
              <w:right w:val="single" w:sz="4" w:space="0" w:color="auto"/>
            </w:tcBorders>
          </w:tcPr>
          <w:p w:rsidR="0022223F" w:rsidRPr="009A460A" w:rsidRDefault="0022223F" w:rsidP="009862B0">
            <w:pPr>
              <w:jc w:val="right"/>
              <w:rPr>
                <w:sz w:val="20"/>
                <w:szCs w:val="20"/>
                <w:lang w:eastAsia="en-GB"/>
              </w:rPr>
            </w:pPr>
            <w:r>
              <w:rPr>
                <w:sz w:val="20"/>
                <w:szCs w:val="20"/>
                <w:lang w:eastAsia="en-GB"/>
              </w:rPr>
              <w:t>650</w:t>
            </w:r>
          </w:p>
        </w:tc>
      </w:tr>
      <w:tr w:rsidR="0022223F" w:rsidRPr="009A460A">
        <w:trPr>
          <w:trHeight w:val="285"/>
        </w:trPr>
        <w:tc>
          <w:tcPr>
            <w:tcW w:w="2740" w:type="dxa"/>
            <w:tcBorders>
              <w:top w:val="nil"/>
              <w:left w:val="single" w:sz="4" w:space="0" w:color="auto"/>
              <w:bottom w:val="single" w:sz="4" w:space="0" w:color="auto"/>
              <w:right w:val="single" w:sz="4" w:space="0" w:color="auto"/>
            </w:tcBorders>
          </w:tcPr>
          <w:p w:rsidR="0022223F" w:rsidRPr="00C7416E" w:rsidRDefault="0022223F" w:rsidP="009862B0">
            <w:pPr>
              <w:rPr>
                <w:color w:val="000000"/>
                <w:lang w:eastAsia="en-GB"/>
              </w:rPr>
            </w:pPr>
            <w:r w:rsidRPr="00C7416E">
              <w:rPr>
                <w:color w:val="000000"/>
                <w:sz w:val="22"/>
                <w:szCs w:val="22"/>
                <w:lang w:eastAsia="en-GB"/>
              </w:rPr>
              <w:t>TFL Principle Roads</w:t>
            </w:r>
          </w:p>
        </w:tc>
        <w:tc>
          <w:tcPr>
            <w:tcW w:w="5213" w:type="dxa"/>
            <w:tcBorders>
              <w:top w:val="nil"/>
              <w:left w:val="nil"/>
              <w:bottom w:val="single" w:sz="4" w:space="0" w:color="auto"/>
              <w:right w:val="single" w:sz="4" w:space="0" w:color="auto"/>
            </w:tcBorders>
            <w:noWrap/>
            <w:vAlign w:val="bottom"/>
          </w:tcPr>
          <w:p w:rsidR="0022223F" w:rsidRPr="00C7416E" w:rsidRDefault="0022223F" w:rsidP="009862B0">
            <w:pPr>
              <w:rPr>
                <w:color w:val="000000"/>
                <w:lang w:eastAsia="en-GB"/>
              </w:rPr>
            </w:pPr>
            <w:r w:rsidRPr="00C7416E">
              <w:rPr>
                <w:color w:val="000000"/>
                <w:sz w:val="22"/>
                <w:szCs w:val="22"/>
                <w:lang w:eastAsia="en-GB"/>
              </w:rPr>
              <w:t>13/14 Project finalised</w:t>
            </w:r>
          </w:p>
        </w:tc>
        <w:tc>
          <w:tcPr>
            <w:tcW w:w="993" w:type="dxa"/>
            <w:tcBorders>
              <w:top w:val="nil"/>
              <w:left w:val="nil"/>
              <w:bottom w:val="single" w:sz="4" w:space="0" w:color="auto"/>
              <w:right w:val="single" w:sz="4" w:space="0" w:color="auto"/>
            </w:tcBorders>
            <w:noWrap/>
            <w:vAlign w:val="bottom"/>
          </w:tcPr>
          <w:p w:rsidR="0022223F" w:rsidRPr="009A460A" w:rsidRDefault="0022223F" w:rsidP="009862B0">
            <w:pPr>
              <w:jc w:val="right"/>
              <w:rPr>
                <w:color w:val="000000"/>
                <w:sz w:val="20"/>
                <w:szCs w:val="20"/>
                <w:lang w:eastAsia="en-GB"/>
              </w:rPr>
            </w:pPr>
            <w:r>
              <w:rPr>
                <w:color w:val="000000"/>
                <w:sz w:val="20"/>
                <w:szCs w:val="20"/>
                <w:lang w:eastAsia="en-GB"/>
              </w:rPr>
              <w:t>111</w:t>
            </w:r>
          </w:p>
        </w:tc>
      </w:tr>
      <w:tr w:rsidR="0022223F" w:rsidRPr="009A460A">
        <w:trPr>
          <w:trHeight w:val="285"/>
        </w:trPr>
        <w:tc>
          <w:tcPr>
            <w:tcW w:w="2740" w:type="dxa"/>
            <w:tcBorders>
              <w:top w:val="nil"/>
              <w:left w:val="single" w:sz="4" w:space="0" w:color="auto"/>
              <w:bottom w:val="single" w:sz="4" w:space="0" w:color="auto"/>
              <w:right w:val="single" w:sz="4" w:space="0" w:color="auto"/>
            </w:tcBorders>
            <w:noWrap/>
            <w:vAlign w:val="bottom"/>
          </w:tcPr>
          <w:p w:rsidR="0022223F" w:rsidRPr="009A460A" w:rsidRDefault="0022223F" w:rsidP="009862B0">
            <w:pPr>
              <w:rPr>
                <w:b/>
                <w:bCs/>
                <w:color w:val="000000"/>
                <w:sz w:val="20"/>
                <w:szCs w:val="20"/>
                <w:lang w:eastAsia="en-GB"/>
              </w:rPr>
            </w:pPr>
            <w:r w:rsidRPr="009A460A">
              <w:rPr>
                <w:b/>
                <w:bCs/>
                <w:color w:val="000000"/>
                <w:sz w:val="20"/>
                <w:szCs w:val="20"/>
                <w:lang w:eastAsia="en-GB"/>
              </w:rPr>
              <w:t>Total Changes</w:t>
            </w:r>
          </w:p>
        </w:tc>
        <w:tc>
          <w:tcPr>
            <w:tcW w:w="5213" w:type="dxa"/>
            <w:tcBorders>
              <w:top w:val="nil"/>
              <w:left w:val="nil"/>
              <w:bottom w:val="single" w:sz="4" w:space="0" w:color="auto"/>
              <w:right w:val="single" w:sz="4" w:space="0" w:color="auto"/>
            </w:tcBorders>
            <w:noWrap/>
            <w:vAlign w:val="bottom"/>
          </w:tcPr>
          <w:p w:rsidR="0022223F" w:rsidRPr="009A460A" w:rsidRDefault="0022223F" w:rsidP="009862B0">
            <w:pPr>
              <w:rPr>
                <w:b/>
                <w:bCs/>
                <w:color w:val="000000"/>
                <w:sz w:val="20"/>
                <w:szCs w:val="20"/>
                <w:lang w:eastAsia="en-GB"/>
              </w:rPr>
            </w:pPr>
            <w:r w:rsidRPr="009A460A">
              <w:rPr>
                <w:b/>
                <w:bCs/>
                <w:color w:val="000000"/>
                <w:sz w:val="20"/>
                <w:szCs w:val="20"/>
                <w:lang w:eastAsia="en-GB"/>
              </w:rPr>
              <w:t> </w:t>
            </w:r>
          </w:p>
        </w:tc>
        <w:tc>
          <w:tcPr>
            <w:tcW w:w="993" w:type="dxa"/>
            <w:tcBorders>
              <w:top w:val="nil"/>
              <w:left w:val="nil"/>
              <w:bottom w:val="single" w:sz="4" w:space="0" w:color="auto"/>
              <w:right w:val="single" w:sz="4" w:space="0" w:color="auto"/>
            </w:tcBorders>
            <w:noWrap/>
            <w:vAlign w:val="bottom"/>
          </w:tcPr>
          <w:p w:rsidR="0022223F" w:rsidRPr="009A460A" w:rsidRDefault="0022223F" w:rsidP="009862B0">
            <w:pPr>
              <w:jc w:val="right"/>
              <w:rPr>
                <w:b/>
                <w:bCs/>
                <w:color w:val="000000"/>
                <w:sz w:val="20"/>
                <w:szCs w:val="20"/>
                <w:lang w:eastAsia="en-GB"/>
              </w:rPr>
            </w:pPr>
            <w:r>
              <w:rPr>
                <w:b/>
                <w:bCs/>
                <w:color w:val="000000"/>
                <w:sz w:val="20"/>
                <w:szCs w:val="20"/>
                <w:lang w:eastAsia="en-GB"/>
              </w:rPr>
              <w:t>761</w:t>
            </w:r>
          </w:p>
        </w:tc>
      </w:tr>
    </w:tbl>
    <w:p w:rsidR="0022223F" w:rsidRDefault="0022223F" w:rsidP="009862B0"/>
    <w:p w:rsidR="0022223F" w:rsidRPr="004B5ED8" w:rsidRDefault="0022223F" w:rsidP="009862B0"/>
    <w:p w:rsidR="0022223F" w:rsidRDefault="0022223F" w:rsidP="009862B0">
      <w:pPr>
        <w:pStyle w:val="Heading2"/>
      </w:pPr>
      <w:r>
        <w:t>Legal Implications</w:t>
      </w:r>
    </w:p>
    <w:p w:rsidR="0022223F" w:rsidRPr="00C7416E" w:rsidRDefault="0022223F" w:rsidP="00DA79AC">
      <w:pPr>
        <w:pStyle w:val="ListParagraph"/>
        <w:numPr>
          <w:ilvl w:val="0"/>
          <w:numId w:val="47"/>
        </w:numPr>
        <w:spacing w:after="240"/>
        <w:ind w:hanging="720"/>
        <w:jc w:val="both"/>
      </w:pPr>
      <w:r w:rsidRPr="00E711CB">
        <w:t xml:space="preserve">Section 151 of the Local Government Act 1972 states that without prejudice to section 111, every local authority shall make arrangements for the proper administration of their financial affairs and shall secure that one of their officers has responsibility for the administration of those affairs” . Section 28 of the Local government Act 2003 imposes a statutory duty on a billing or major precepting authority to monitor, during the financial year, its income and expenditure against budget calculations. </w:t>
      </w:r>
    </w:p>
    <w:p w:rsidR="0022223F" w:rsidRPr="00E711CB" w:rsidRDefault="0022223F" w:rsidP="00DA79AC">
      <w:pPr>
        <w:pStyle w:val="ListParagraph"/>
        <w:numPr>
          <w:ilvl w:val="0"/>
          <w:numId w:val="47"/>
        </w:numPr>
        <w:spacing w:after="240"/>
        <w:ind w:hanging="720"/>
        <w:jc w:val="both"/>
      </w:pPr>
      <w:r w:rsidRPr="00E711CB">
        <w:t>Decision makers should have due regard to the public sector equality duty in making their decisions. The equalities duties are continuing duties they are not duties to secure a particular outcome. The equalities impact will be revisited on each of the proposals as they are developed. Consideration of the duties should precede the decision. It is important that Cabinet has regard to the statutory grounds in the light of all available material such as consultation responses. The statutory grounds of the public sector equality duty are found at section 149 of the Equality Act 2010 and are as follows:</w:t>
      </w:r>
    </w:p>
    <w:p w:rsidR="0022223F" w:rsidRPr="00E711CB" w:rsidRDefault="0022223F" w:rsidP="00DA79AC">
      <w:pPr>
        <w:pStyle w:val="ListParagraph"/>
        <w:spacing w:after="240"/>
        <w:jc w:val="both"/>
      </w:pPr>
    </w:p>
    <w:p w:rsidR="0022223F" w:rsidRPr="00E711CB" w:rsidRDefault="0022223F" w:rsidP="00DA79AC">
      <w:pPr>
        <w:pStyle w:val="ListParagraph"/>
        <w:numPr>
          <w:ilvl w:val="0"/>
          <w:numId w:val="47"/>
        </w:numPr>
        <w:spacing w:after="240"/>
        <w:ind w:hanging="720"/>
        <w:jc w:val="both"/>
      </w:pPr>
      <w:r w:rsidRPr="00E711CB">
        <w:t>A public authority must, in the exercise of its functions, have due regard to the need to:</w:t>
      </w:r>
    </w:p>
    <w:p w:rsidR="0022223F" w:rsidRPr="00E711CB" w:rsidRDefault="0022223F" w:rsidP="00DA79AC">
      <w:pPr>
        <w:pStyle w:val="ListParagraph"/>
        <w:spacing w:after="240"/>
        <w:jc w:val="both"/>
      </w:pPr>
      <w:r w:rsidRPr="00E711CB">
        <w:t>(a)          eliminate discrimination, harassment, victimisation and any other conduct that is prohibited by or under this Act;</w:t>
      </w:r>
    </w:p>
    <w:p w:rsidR="0022223F" w:rsidRPr="00DA79AC" w:rsidRDefault="0022223F" w:rsidP="00DA79AC">
      <w:pPr>
        <w:spacing w:after="240"/>
        <w:ind w:left="720"/>
        <w:jc w:val="both"/>
      </w:pPr>
      <w:r w:rsidRPr="00DA79AC">
        <w:t>(b)          advance equality of opportunity between persons who share a relevant protected characteristic and persons who do not share it;</w:t>
      </w:r>
    </w:p>
    <w:p w:rsidR="0022223F" w:rsidRPr="00DA79AC" w:rsidRDefault="0022223F" w:rsidP="00DA79AC">
      <w:pPr>
        <w:spacing w:after="240"/>
        <w:ind w:left="720"/>
        <w:jc w:val="both"/>
      </w:pPr>
      <w:r w:rsidRPr="00DA79AC">
        <w:t>(c)           foster good relations between persons who share a relevant protected characteristic and persons who do not share it.</w:t>
      </w:r>
    </w:p>
    <w:p w:rsidR="0022223F" w:rsidRPr="00E711CB" w:rsidRDefault="0022223F" w:rsidP="00DA79AC">
      <w:pPr>
        <w:pStyle w:val="ListParagraph"/>
        <w:numPr>
          <w:ilvl w:val="0"/>
          <w:numId w:val="47"/>
        </w:numPr>
        <w:spacing w:after="240"/>
        <w:ind w:hanging="720"/>
        <w:jc w:val="both"/>
      </w:pPr>
      <w:r w:rsidRPr="00E711CB">
        <w:t>Having due regard to the need to advance equality of opportunity between persons who share a relevant protected characteristic and persons who do not share it involves having due regard, in particular, to the need to:</w:t>
      </w:r>
    </w:p>
    <w:p w:rsidR="0022223F" w:rsidRPr="00DA79AC" w:rsidRDefault="0022223F" w:rsidP="00DA79AC">
      <w:pPr>
        <w:spacing w:after="240"/>
        <w:ind w:left="720"/>
        <w:jc w:val="both"/>
      </w:pPr>
      <w:r w:rsidRPr="00DA79AC">
        <w:t>(a)          remove or minimise disadvantages suffered by persons who share a relevant protected characteristic that are connected to that characteristic;</w:t>
      </w:r>
    </w:p>
    <w:p w:rsidR="0022223F" w:rsidRPr="00DA79AC" w:rsidRDefault="0022223F" w:rsidP="00DA79AC">
      <w:pPr>
        <w:spacing w:after="240"/>
        <w:ind w:left="720"/>
        <w:jc w:val="both"/>
      </w:pPr>
      <w:r w:rsidRPr="00DA79AC">
        <w:t>(b)          take steps to meet the needs of persons who share a relevant protected characteristic that are different from the needs of persons who do not share it;</w:t>
      </w:r>
    </w:p>
    <w:p w:rsidR="0022223F" w:rsidRPr="00DA79AC" w:rsidRDefault="0022223F" w:rsidP="00DA79AC">
      <w:pPr>
        <w:spacing w:after="240"/>
        <w:ind w:left="720"/>
        <w:jc w:val="both"/>
      </w:pPr>
      <w:r w:rsidRPr="00DA79AC">
        <w:t>(c)           encourage persons who share a relevant protected characteristic to participate in public life or in any other activity in which participation by such persons is disproportionately low.</w:t>
      </w:r>
    </w:p>
    <w:p w:rsidR="0022223F" w:rsidRPr="00E711CB" w:rsidRDefault="0022223F" w:rsidP="00DA79AC">
      <w:pPr>
        <w:pStyle w:val="ListParagraph"/>
        <w:numPr>
          <w:ilvl w:val="0"/>
          <w:numId w:val="47"/>
        </w:numPr>
        <w:spacing w:after="240"/>
        <w:ind w:hanging="720"/>
        <w:jc w:val="both"/>
      </w:pPr>
      <w:r w:rsidRPr="00E711CB">
        <w:t>The steps involved in meeting the needs of disabled persons that are different from the needs of persons who are not disabled include, in particular, steps to take account of disabled persons’ disabilities.</w:t>
      </w:r>
    </w:p>
    <w:p w:rsidR="0022223F" w:rsidRPr="00E711CB" w:rsidRDefault="0022223F" w:rsidP="00DA79AC">
      <w:pPr>
        <w:pStyle w:val="ListParagraph"/>
        <w:numPr>
          <w:ilvl w:val="0"/>
          <w:numId w:val="47"/>
        </w:numPr>
        <w:spacing w:after="240"/>
        <w:ind w:hanging="720"/>
        <w:jc w:val="both"/>
      </w:pPr>
      <w:r w:rsidRPr="00E711CB">
        <w:t>Having due regard to the need to foster good relations between persons who share a relevant protected characteristic and persons who do not share it involves having due regard, in particular, to the need to:</w:t>
      </w:r>
    </w:p>
    <w:p w:rsidR="0022223F" w:rsidRPr="00DA79AC" w:rsidRDefault="0022223F" w:rsidP="00DA79AC">
      <w:pPr>
        <w:spacing w:after="240"/>
        <w:ind w:left="360" w:firstLine="360"/>
        <w:jc w:val="both"/>
      </w:pPr>
      <w:r w:rsidRPr="00DA79AC">
        <w:t>(a)          Tackle prejudice, and</w:t>
      </w:r>
    </w:p>
    <w:p w:rsidR="0022223F" w:rsidRPr="00DA79AC" w:rsidRDefault="0022223F" w:rsidP="00DA79AC">
      <w:pPr>
        <w:spacing w:after="240"/>
        <w:ind w:left="360" w:firstLine="360"/>
        <w:jc w:val="both"/>
      </w:pPr>
      <w:r w:rsidRPr="00DA79AC">
        <w:t>(b)          Promote understanding.</w:t>
      </w:r>
    </w:p>
    <w:p w:rsidR="0022223F" w:rsidRPr="00E711CB" w:rsidRDefault="0022223F" w:rsidP="00DA79AC">
      <w:pPr>
        <w:pStyle w:val="ListParagraph"/>
        <w:numPr>
          <w:ilvl w:val="0"/>
          <w:numId w:val="47"/>
        </w:numPr>
        <w:spacing w:after="240"/>
        <w:ind w:hanging="720"/>
        <w:jc w:val="both"/>
      </w:pPr>
      <w:r w:rsidRPr="00E711CB">
        <w:t>Compliance with the duties in this section may involve treating some persons more favourably than others; but that is not to be taken as permitting conduct that would otherwise be prohibited by or under this Act. The relevant protected characteristics are:</w:t>
      </w:r>
    </w:p>
    <w:p w:rsidR="0022223F" w:rsidRPr="00DA79AC" w:rsidRDefault="0022223F" w:rsidP="00DA79AC">
      <w:pPr>
        <w:spacing w:after="240"/>
        <w:ind w:left="360" w:firstLine="360"/>
        <w:jc w:val="both"/>
      </w:pPr>
      <w:r w:rsidRPr="00DA79AC">
        <w:t>•              Age</w:t>
      </w:r>
    </w:p>
    <w:p w:rsidR="0022223F" w:rsidRPr="00DA79AC" w:rsidRDefault="0022223F" w:rsidP="00DA79AC">
      <w:pPr>
        <w:spacing w:after="240"/>
        <w:ind w:left="360" w:firstLine="360"/>
        <w:jc w:val="both"/>
      </w:pPr>
      <w:r w:rsidRPr="00DA79AC">
        <w:t>•              Disability</w:t>
      </w:r>
    </w:p>
    <w:p w:rsidR="0022223F" w:rsidRPr="00DA79AC" w:rsidRDefault="0022223F" w:rsidP="00DA79AC">
      <w:pPr>
        <w:spacing w:after="240"/>
        <w:ind w:left="360" w:firstLine="360"/>
        <w:jc w:val="both"/>
      </w:pPr>
      <w:r w:rsidRPr="00DA79AC">
        <w:t>•              Gender reassignment</w:t>
      </w:r>
    </w:p>
    <w:p w:rsidR="0022223F" w:rsidRPr="00E711CB" w:rsidRDefault="0022223F" w:rsidP="00DA79AC">
      <w:pPr>
        <w:pStyle w:val="ListParagraph"/>
        <w:spacing w:after="240"/>
        <w:jc w:val="both"/>
      </w:pPr>
      <w:r w:rsidRPr="00E711CB">
        <w:t>•              Pregnancy and maternity</w:t>
      </w:r>
    </w:p>
    <w:p w:rsidR="0022223F" w:rsidRPr="00DA79AC" w:rsidRDefault="0022223F" w:rsidP="00DA79AC">
      <w:pPr>
        <w:spacing w:after="240"/>
        <w:ind w:left="360" w:firstLine="360"/>
        <w:jc w:val="both"/>
      </w:pPr>
      <w:r w:rsidRPr="00DA79AC">
        <w:t>•              Race,</w:t>
      </w:r>
    </w:p>
    <w:p w:rsidR="0022223F" w:rsidRPr="00DA79AC" w:rsidRDefault="0022223F" w:rsidP="00DA79AC">
      <w:pPr>
        <w:spacing w:after="240"/>
        <w:ind w:left="360" w:firstLine="360"/>
        <w:jc w:val="both"/>
      </w:pPr>
      <w:r w:rsidRPr="00DA79AC">
        <w:t>•              Religion or belief</w:t>
      </w:r>
    </w:p>
    <w:p w:rsidR="0022223F" w:rsidRPr="00DA79AC" w:rsidRDefault="0022223F" w:rsidP="00DA79AC">
      <w:pPr>
        <w:spacing w:after="240"/>
        <w:ind w:left="360" w:firstLine="360"/>
        <w:jc w:val="both"/>
      </w:pPr>
      <w:r w:rsidRPr="00DA79AC">
        <w:t>•              Sex</w:t>
      </w:r>
    </w:p>
    <w:p w:rsidR="0022223F" w:rsidRPr="00DA79AC" w:rsidRDefault="0022223F" w:rsidP="00DA79AC">
      <w:pPr>
        <w:spacing w:after="240"/>
        <w:ind w:left="360" w:firstLine="360"/>
        <w:jc w:val="both"/>
      </w:pPr>
      <w:r w:rsidRPr="00DA79AC">
        <w:t>•              Sexual orientation</w:t>
      </w:r>
    </w:p>
    <w:p w:rsidR="0022223F" w:rsidRPr="00DA79AC" w:rsidRDefault="0022223F" w:rsidP="00DA79AC">
      <w:pPr>
        <w:spacing w:after="240"/>
        <w:ind w:left="360" w:firstLine="360"/>
        <w:jc w:val="both"/>
      </w:pPr>
      <w:r w:rsidRPr="00DA79AC">
        <w:t xml:space="preserve">•              Marriage and Civil partnership       </w:t>
      </w:r>
    </w:p>
    <w:p w:rsidR="0022223F" w:rsidRDefault="0022223F" w:rsidP="009862B0">
      <w:pPr>
        <w:pStyle w:val="Heading2"/>
      </w:pPr>
      <w:r>
        <w:t>Financial Implications</w:t>
      </w:r>
    </w:p>
    <w:p w:rsidR="0022223F" w:rsidRDefault="0022223F" w:rsidP="00314B0F">
      <w:pPr>
        <w:pStyle w:val="ListParagraph"/>
        <w:numPr>
          <w:ilvl w:val="0"/>
          <w:numId w:val="47"/>
        </w:numPr>
        <w:spacing w:after="240"/>
        <w:ind w:hanging="720"/>
      </w:pPr>
      <w:r w:rsidRPr="004709BE">
        <w:t>Financial matters are integral to the report.</w:t>
      </w:r>
    </w:p>
    <w:p w:rsidR="0022223F" w:rsidRDefault="0022223F" w:rsidP="009862B0">
      <w:pPr>
        <w:pStyle w:val="Heading2"/>
      </w:pPr>
      <w:r>
        <w:t>Performance Issues</w:t>
      </w:r>
    </w:p>
    <w:p w:rsidR="0022223F" w:rsidRDefault="0022223F" w:rsidP="00314B0F">
      <w:pPr>
        <w:pStyle w:val="ListParagraph"/>
        <w:numPr>
          <w:ilvl w:val="0"/>
          <w:numId w:val="47"/>
        </w:numPr>
        <w:spacing w:after="240"/>
        <w:ind w:hanging="720"/>
        <w:jc w:val="both"/>
      </w:pPr>
      <w:r>
        <w:t>Good financial performance is essential to achieving a balanced budget.  The financial performance is integrated with the strategic performance of the Council through quarterly Directorate Improvement Boards  which consider the financial position alongside performance including key projects, service KPIs (including customer data and complaints) and workforce. Monitoring of finance and performance is reported regularly to the Corporate Strategic Board and Cabinet and is also considered by the Council's Performance and Finance Scrutiny Sub- Committee.</w:t>
      </w:r>
    </w:p>
    <w:p w:rsidR="0022223F" w:rsidRDefault="0022223F" w:rsidP="00314B0F">
      <w:pPr>
        <w:pStyle w:val="ListParagraph"/>
        <w:numPr>
          <w:ilvl w:val="0"/>
          <w:numId w:val="47"/>
        </w:numPr>
        <w:spacing w:after="240"/>
        <w:ind w:hanging="720"/>
        <w:jc w:val="both"/>
      </w:pPr>
      <w:r>
        <w:t xml:space="preserve">The overall projected percentage variance from the revenue budget is forecast to be -0.1%.  </w:t>
      </w:r>
    </w:p>
    <w:p w:rsidR="0022223F" w:rsidRDefault="0022223F" w:rsidP="00DA79AC">
      <w:pPr>
        <w:pStyle w:val="ListParagraph"/>
        <w:numPr>
          <w:ilvl w:val="0"/>
          <w:numId w:val="47"/>
        </w:numPr>
        <w:spacing w:after="240"/>
        <w:ind w:hanging="720"/>
        <w:jc w:val="both"/>
      </w:pPr>
      <w:r>
        <w:t>For the 2014/15 savings built into the MTFS, the overall position is that 70% of the savings are RAG rated as green, 27% RAG rated amber and 3% RAG rated red.</w:t>
      </w:r>
    </w:p>
    <w:p w:rsidR="0022223F" w:rsidRDefault="0022223F" w:rsidP="00DA79AC">
      <w:pPr>
        <w:pStyle w:val="ListParagraph"/>
        <w:numPr>
          <w:ilvl w:val="0"/>
          <w:numId w:val="47"/>
        </w:numPr>
        <w:spacing w:after="240"/>
        <w:ind w:hanging="720"/>
        <w:jc w:val="both"/>
      </w:pPr>
      <w:r>
        <w:t xml:space="preserve">There is a performance target of 90% of the approved capital programme for 2014/15 being spent in year. The current projection is </w:t>
      </w:r>
      <w:r w:rsidRPr="002770F8">
        <w:t>for spend to be 72% of</w:t>
      </w:r>
      <w:r>
        <w:t xml:space="preserve"> budget.  </w:t>
      </w:r>
    </w:p>
    <w:p w:rsidR="0022223F" w:rsidRDefault="0022223F" w:rsidP="00DA79AC">
      <w:pPr>
        <w:pStyle w:val="ListParagraph"/>
        <w:numPr>
          <w:ilvl w:val="0"/>
          <w:numId w:val="47"/>
        </w:numPr>
        <w:spacing w:after="240"/>
        <w:ind w:hanging="720"/>
        <w:jc w:val="both"/>
      </w:pPr>
      <w:r>
        <w:t xml:space="preserve">Council Tax Collection: The collection rate is slightly below the target profile at the end of the second quarter at 57.62% against a profile of 57%. </w:t>
      </w:r>
    </w:p>
    <w:p w:rsidR="0022223F" w:rsidRDefault="0022223F" w:rsidP="009862B0">
      <w:pPr>
        <w:pStyle w:val="ListParagraph"/>
        <w:numPr>
          <w:ilvl w:val="0"/>
          <w:numId w:val="47"/>
        </w:numPr>
        <w:spacing w:after="240"/>
        <w:ind w:hanging="720"/>
        <w:jc w:val="both"/>
      </w:pPr>
      <w:r>
        <w:t xml:space="preserve">Business Rates Collection: The collection rate is 0.5% below profile at 59.5% compared to a target of 60.0%.  </w:t>
      </w:r>
      <w:r w:rsidRPr="007410D5">
        <w:t>This reflects a move by a number of payers from 10 to 12 payments per year. The position is expected to improve as we move through the year</w:t>
      </w:r>
      <w:r>
        <w:t xml:space="preserve"> and is nearly 1% better than at Quarter 1</w:t>
      </w:r>
      <w:r w:rsidRPr="007410D5">
        <w:t>.</w:t>
      </w:r>
    </w:p>
    <w:p w:rsidR="0022223F" w:rsidRPr="00721C7C" w:rsidRDefault="0022223F" w:rsidP="009862B0">
      <w:pPr>
        <w:rPr>
          <w:b/>
          <w:bCs/>
          <w:sz w:val="28"/>
          <w:szCs w:val="28"/>
        </w:rPr>
      </w:pPr>
      <w:r w:rsidRPr="00721C7C">
        <w:rPr>
          <w:b/>
          <w:bCs/>
          <w:sz w:val="28"/>
          <w:szCs w:val="28"/>
        </w:rPr>
        <w:t>Environmental Impact</w:t>
      </w:r>
    </w:p>
    <w:p w:rsidR="0022223F" w:rsidRDefault="0022223F" w:rsidP="00314B0F">
      <w:pPr>
        <w:pStyle w:val="ListParagraph"/>
        <w:numPr>
          <w:ilvl w:val="0"/>
          <w:numId w:val="47"/>
        </w:numPr>
        <w:spacing w:after="240"/>
        <w:ind w:hanging="720"/>
      </w:pPr>
      <w:r w:rsidRPr="004709BE">
        <w:t>There are none directly related to this report</w:t>
      </w:r>
    </w:p>
    <w:p w:rsidR="0022223F" w:rsidRDefault="0022223F" w:rsidP="009862B0"/>
    <w:p w:rsidR="0022223F" w:rsidRDefault="0022223F">
      <w:pPr>
        <w:rPr>
          <w:b/>
          <w:bCs/>
          <w:sz w:val="28"/>
          <w:szCs w:val="28"/>
        </w:rPr>
      </w:pPr>
    </w:p>
    <w:p w:rsidR="0022223F" w:rsidRDefault="0022223F" w:rsidP="009862B0">
      <w:pPr>
        <w:rPr>
          <w:b/>
          <w:bCs/>
          <w:sz w:val="28"/>
          <w:szCs w:val="28"/>
        </w:rPr>
      </w:pPr>
      <w:r w:rsidRPr="00AF6555">
        <w:rPr>
          <w:b/>
          <w:bCs/>
          <w:sz w:val="28"/>
          <w:szCs w:val="28"/>
        </w:rPr>
        <w:t>Risk Management Implications</w:t>
      </w:r>
    </w:p>
    <w:p w:rsidR="0022223F" w:rsidRDefault="0022223F" w:rsidP="00DA79AC">
      <w:pPr>
        <w:pStyle w:val="ListParagraph"/>
        <w:numPr>
          <w:ilvl w:val="0"/>
          <w:numId w:val="47"/>
        </w:numPr>
        <w:spacing w:after="240"/>
        <w:ind w:hanging="720"/>
        <w:jc w:val="both"/>
      </w:pPr>
      <w:r w:rsidRPr="004709BE">
        <w:t>The risks to the Council and how they are being man</w:t>
      </w:r>
      <w:r>
        <w:t>aged are set out in the report.</w:t>
      </w:r>
    </w:p>
    <w:p w:rsidR="0022223F" w:rsidRPr="00DA79AC" w:rsidRDefault="0022223F" w:rsidP="00DA79AC">
      <w:pPr>
        <w:pStyle w:val="ListParagraph"/>
        <w:numPr>
          <w:ilvl w:val="0"/>
          <w:numId w:val="47"/>
        </w:numPr>
        <w:spacing w:after="240"/>
        <w:ind w:hanging="720"/>
        <w:jc w:val="both"/>
      </w:pPr>
      <w:r>
        <w:t>Risks are included on the Directorate risk registers.</w:t>
      </w:r>
    </w:p>
    <w:p w:rsidR="0022223F" w:rsidRDefault="0022223F" w:rsidP="00DA79AC">
      <w:pPr>
        <w:keepNext/>
        <w:ind w:left="360" w:hanging="360"/>
        <w:jc w:val="both"/>
        <w:rPr>
          <w:b/>
          <w:bCs/>
          <w:sz w:val="28"/>
          <w:szCs w:val="28"/>
        </w:rPr>
      </w:pPr>
      <w:r w:rsidRPr="00BA4E3C">
        <w:rPr>
          <w:b/>
          <w:bCs/>
          <w:sz w:val="28"/>
          <w:szCs w:val="28"/>
        </w:rPr>
        <w:t>Equalities implications / Public Sector Equality Duty</w:t>
      </w:r>
    </w:p>
    <w:p w:rsidR="0022223F" w:rsidRPr="00DA79AC" w:rsidRDefault="0022223F" w:rsidP="00DA79AC">
      <w:pPr>
        <w:pStyle w:val="ListParagraph"/>
        <w:numPr>
          <w:ilvl w:val="0"/>
          <w:numId w:val="47"/>
        </w:numPr>
        <w:spacing w:after="240"/>
        <w:ind w:right="141" w:hanging="720"/>
        <w:jc w:val="both"/>
        <w:rPr>
          <w:lang w:val="en-US"/>
        </w:rPr>
      </w:pPr>
      <w:r>
        <w:t>A full equalities impact assessment was completed on the budget when the budget was set by Full Council. Equalities implications are taken into account by individual directorates whilst running services and making decisions to vire money. A full equality impact assessment will be completed on the budget for 2015/16.</w:t>
      </w:r>
    </w:p>
    <w:p w:rsidR="0022223F" w:rsidRDefault="0022223F" w:rsidP="00DA79AC">
      <w:pPr>
        <w:pStyle w:val="ListParagraph"/>
        <w:keepNext/>
        <w:spacing w:after="240"/>
        <w:ind w:hanging="720"/>
        <w:rPr>
          <w:b/>
          <w:bCs/>
          <w:sz w:val="28"/>
          <w:szCs w:val="28"/>
        </w:rPr>
      </w:pPr>
      <w:r>
        <w:rPr>
          <w:b/>
          <w:bCs/>
          <w:sz w:val="28"/>
          <w:szCs w:val="28"/>
        </w:rPr>
        <w:t xml:space="preserve">Council </w:t>
      </w:r>
      <w:r w:rsidRPr="009117F2">
        <w:rPr>
          <w:b/>
          <w:bCs/>
          <w:sz w:val="28"/>
          <w:szCs w:val="28"/>
        </w:rPr>
        <w:t>Priorities</w:t>
      </w:r>
    </w:p>
    <w:p w:rsidR="0022223F" w:rsidRPr="00DA79AC" w:rsidRDefault="0022223F" w:rsidP="00DA79AC">
      <w:pPr>
        <w:pStyle w:val="ListParagraph"/>
        <w:keepNext/>
        <w:numPr>
          <w:ilvl w:val="0"/>
          <w:numId w:val="47"/>
        </w:numPr>
        <w:spacing w:after="240"/>
        <w:ind w:hanging="720"/>
        <w:rPr>
          <w:b/>
          <w:bCs/>
          <w:sz w:val="28"/>
          <w:szCs w:val="28"/>
        </w:rPr>
      </w:pPr>
      <w:r w:rsidRPr="00DA79AC">
        <w:t>The Council’s vision is:</w:t>
      </w:r>
      <w:r w:rsidRPr="00DA79AC">
        <w:tab/>
      </w:r>
    </w:p>
    <w:p w:rsidR="0022223F" w:rsidRDefault="0022223F" w:rsidP="00BA4E3C"/>
    <w:p w:rsidR="0022223F" w:rsidRPr="00D378CC" w:rsidRDefault="0022223F" w:rsidP="00BA4E3C">
      <w:r w:rsidRPr="00C00122">
        <w:rPr>
          <w:b/>
          <w:bCs/>
        </w:rPr>
        <w:t>Working Together to Make a Difference for Harrow</w:t>
      </w:r>
    </w:p>
    <w:p w:rsidR="0022223F" w:rsidRDefault="0022223F" w:rsidP="00BA4E3C">
      <w:pPr>
        <w:rPr>
          <w:lang w:val="en-US"/>
        </w:rPr>
      </w:pPr>
    </w:p>
    <w:p w:rsidR="0022223F" w:rsidRPr="00DA79AC" w:rsidRDefault="0022223F" w:rsidP="00DA79AC">
      <w:pPr>
        <w:pStyle w:val="ListParagraph"/>
        <w:numPr>
          <w:ilvl w:val="0"/>
          <w:numId w:val="47"/>
        </w:numPr>
        <w:ind w:hanging="720"/>
        <w:jc w:val="both"/>
        <w:rPr>
          <w:lang w:val="en-US"/>
        </w:rPr>
      </w:pPr>
      <w:r w:rsidRPr="00DA79AC">
        <w:rPr>
          <w:lang w:val="en-US"/>
        </w:rPr>
        <w:t>The Council’s priorities are:</w:t>
      </w:r>
    </w:p>
    <w:p w:rsidR="0022223F" w:rsidRDefault="0022223F" w:rsidP="00DA79AC">
      <w:pPr>
        <w:jc w:val="both"/>
      </w:pPr>
    </w:p>
    <w:p w:rsidR="0022223F" w:rsidRPr="00356159" w:rsidRDefault="0022223F" w:rsidP="00DA79AC">
      <w:pPr>
        <w:tabs>
          <w:tab w:val="left" w:pos="748"/>
        </w:tabs>
        <w:ind w:left="1058" w:hanging="349"/>
        <w:jc w:val="both"/>
      </w:pPr>
      <w:r w:rsidRPr="00356159">
        <w:t>Making a difference for the vulnerable</w:t>
      </w:r>
    </w:p>
    <w:p w:rsidR="0022223F" w:rsidRPr="00356159" w:rsidRDefault="0022223F" w:rsidP="00DA79AC">
      <w:pPr>
        <w:tabs>
          <w:tab w:val="left" w:pos="748"/>
        </w:tabs>
        <w:suppressAutoHyphens/>
        <w:ind w:left="1058" w:hanging="349"/>
        <w:jc w:val="both"/>
      </w:pPr>
      <w:r w:rsidRPr="00356159">
        <w:t>Making a difference for communities</w:t>
      </w:r>
    </w:p>
    <w:p w:rsidR="0022223F" w:rsidRPr="00356159" w:rsidRDefault="0022223F" w:rsidP="00DA79AC">
      <w:pPr>
        <w:tabs>
          <w:tab w:val="left" w:pos="748"/>
        </w:tabs>
        <w:suppressAutoHyphens/>
        <w:ind w:left="1058" w:hanging="349"/>
        <w:jc w:val="both"/>
      </w:pPr>
      <w:r w:rsidRPr="00356159">
        <w:t>Making a difference for local businesses</w:t>
      </w:r>
    </w:p>
    <w:p w:rsidR="0022223F" w:rsidRPr="00356159" w:rsidRDefault="0022223F" w:rsidP="00DA79AC">
      <w:pPr>
        <w:tabs>
          <w:tab w:val="left" w:pos="748"/>
        </w:tabs>
        <w:suppressAutoHyphens/>
        <w:spacing w:after="240"/>
        <w:ind w:left="1058" w:hanging="349"/>
        <w:jc w:val="both"/>
      </w:pPr>
      <w:r w:rsidRPr="00356159">
        <w:t>Making a difference for families</w:t>
      </w:r>
    </w:p>
    <w:p w:rsidR="0022223F" w:rsidRDefault="0022223F" w:rsidP="00DA79AC">
      <w:pPr>
        <w:pStyle w:val="ListParagraph"/>
        <w:numPr>
          <w:ilvl w:val="0"/>
          <w:numId w:val="47"/>
        </w:numPr>
        <w:spacing w:after="240"/>
        <w:ind w:hanging="720"/>
        <w:jc w:val="both"/>
      </w:pPr>
      <w:r w:rsidRPr="004709BE">
        <w:t xml:space="preserve">This report deals with Revenue and Capital monitoring which is key to delivering the </w:t>
      </w:r>
      <w:r>
        <w:t xml:space="preserve">infrastructure to deliver the </w:t>
      </w:r>
      <w:r w:rsidRPr="004709BE">
        <w:t>Council’s priorities.</w:t>
      </w:r>
    </w:p>
    <w:p w:rsidR="0022223F" w:rsidRDefault="0022223F"/>
    <w:p w:rsidR="0022223F" w:rsidRDefault="0022223F" w:rsidP="007A2F3B">
      <w:pPr>
        <w:pStyle w:val="Heading1"/>
        <w:keepNext/>
      </w:pPr>
      <w:r>
        <w:t>Section 3 - Statutory Officer Clearance</w:t>
      </w:r>
    </w:p>
    <w:p w:rsidR="0022223F" w:rsidRDefault="0022223F" w:rsidP="007A2F3B">
      <w:pPr>
        <w:keepNext/>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1"/>
        <w:gridCol w:w="478"/>
        <w:gridCol w:w="258"/>
        <w:gridCol w:w="4461"/>
      </w:tblGrid>
      <w:tr w:rsidR="0022223F">
        <w:tc>
          <w:tcPr>
            <w:tcW w:w="2320" w:type="pct"/>
            <w:tcBorders>
              <w:bottom w:val="nil"/>
              <w:right w:val="nil"/>
            </w:tcBorders>
          </w:tcPr>
          <w:p w:rsidR="0022223F" w:rsidRDefault="0022223F">
            <w:pPr>
              <w:pStyle w:val="Infotext"/>
            </w:pPr>
          </w:p>
          <w:p w:rsidR="0022223F" w:rsidRDefault="0022223F">
            <w:pPr>
              <w:pStyle w:val="Infotext"/>
            </w:pPr>
          </w:p>
        </w:tc>
        <w:tc>
          <w:tcPr>
            <w:tcW w:w="246" w:type="pct"/>
            <w:tcBorders>
              <w:left w:val="nil"/>
              <w:right w:val="nil"/>
            </w:tcBorders>
          </w:tcPr>
          <w:p w:rsidR="0022223F" w:rsidRDefault="0022223F">
            <w:pPr>
              <w:pStyle w:val="Infotext"/>
            </w:pPr>
          </w:p>
        </w:tc>
        <w:tc>
          <w:tcPr>
            <w:tcW w:w="133" w:type="pct"/>
            <w:tcBorders>
              <w:left w:val="nil"/>
              <w:bottom w:val="nil"/>
              <w:right w:val="nil"/>
            </w:tcBorders>
          </w:tcPr>
          <w:p w:rsidR="0022223F" w:rsidRDefault="0022223F">
            <w:pPr>
              <w:pStyle w:val="Infotext"/>
            </w:pPr>
          </w:p>
        </w:tc>
        <w:tc>
          <w:tcPr>
            <w:tcW w:w="2300" w:type="pct"/>
            <w:tcBorders>
              <w:left w:val="nil"/>
              <w:bottom w:val="nil"/>
            </w:tcBorders>
          </w:tcPr>
          <w:p w:rsidR="0022223F" w:rsidRDefault="0022223F">
            <w:pPr>
              <w:pStyle w:val="Infotext"/>
            </w:pPr>
          </w:p>
          <w:p w:rsidR="0022223F" w:rsidRDefault="0022223F">
            <w:pPr>
              <w:pStyle w:val="Infotext"/>
            </w:pPr>
          </w:p>
        </w:tc>
      </w:tr>
      <w:tr w:rsidR="0022223F">
        <w:tc>
          <w:tcPr>
            <w:tcW w:w="2320" w:type="pct"/>
            <w:tcBorders>
              <w:top w:val="nil"/>
              <w:bottom w:val="nil"/>
            </w:tcBorders>
          </w:tcPr>
          <w:p w:rsidR="0022223F" w:rsidRDefault="0022223F" w:rsidP="00356DD0">
            <w:pPr>
              <w:pStyle w:val="Infotext"/>
            </w:pPr>
            <w:r>
              <w:t>Name:Dawn Calvert</w:t>
            </w:r>
          </w:p>
        </w:tc>
        <w:tc>
          <w:tcPr>
            <w:tcW w:w="246" w:type="pct"/>
          </w:tcPr>
          <w:p w:rsidR="0022223F" w:rsidRDefault="0022223F">
            <w:pPr>
              <w:pStyle w:val="Infotext"/>
            </w:pPr>
            <w:r>
              <w:t>x</w:t>
            </w:r>
          </w:p>
        </w:tc>
        <w:tc>
          <w:tcPr>
            <w:tcW w:w="133" w:type="pct"/>
            <w:tcBorders>
              <w:top w:val="nil"/>
              <w:bottom w:val="nil"/>
              <w:right w:val="nil"/>
            </w:tcBorders>
          </w:tcPr>
          <w:p w:rsidR="0022223F" w:rsidRDefault="0022223F">
            <w:pPr>
              <w:pStyle w:val="Infotext"/>
            </w:pPr>
          </w:p>
        </w:tc>
        <w:tc>
          <w:tcPr>
            <w:tcW w:w="2300" w:type="pct"/>
            <w:tcBorders>
              <w:top w:val="nil"/>
              <w:left w:val="nil"/>
              <w:bottom w:val="nil"/>
            </w:tcBorders>
          </w:tcPr>
          <w:p w:rsidR="0022223F" w:rsidRDefault="0022223F">
            <w:pPr>
              <w:pStyle w:val="Infotext"/>
            </w:pPr>
            <w:r>
              <w:t xml:space="preserve">on behalf of the </w:t>
            </w:r>
          </w:p>
          <w:p w:rsidR="0022223F" w:rsidRDefault="0022223F">
            <w:pPr>
              <w:pStyle w:val="Infotext"/>
            </w:pPr>
            <w:r>
              <w:t>Chief Financial Officer</w:t>
            </w:r>
          </w:p>
        </w:tc>
      </w:tr>
      <w:tr w:rsidR="0022223F">
        <w:tc>
          <w:tcPr>
            <w:tcW w:w="2320" w:type="pct"/>
            <w:tcBorders>
              <w:top w:val="nil"/>
              <w:right w:val="nil"/>
            </w:tcBorders>
          </w:tcPr>
          <w:p w:rsidR="0022223F" w:rsidRDefault="0022223F">
            <w:pPr>
              <w:pStyle w:val="Infotext"/>
            </w:pPr>
          </w:p>
          <w:p w:rsidR="0022223F" w:rsidRDefault="0022223F" w:rsidP="006E6395">
            <w:pPr>
              <w:pStyle w:val="Infotext"/>
            </w:pPr>
            <w:r>
              <w:t>Date: 28 November 2014</w:t>
            </w:r>
          </w:p>
        </w:tc>
        <w:tc>
          <w:tcPr>
            <w:tcW w:w="246" w:type="pct"/>
            <w:tcBorders>
              <w:left w:val="nil"/>
              <w:right w:val="nil"/>
            </w:tcBorders>
          </w:tcPr>
          <w:p w:rsidR="0022223F" w:rsidRDefault="0022223F">
            <w:pPr>
              <w:pStyle w:val="Infotext"/>
            </w:pPr>
          </w:p>
        </w:tc>
        <w:tc>
          <w:tcPr>
            <w:tcW w:w="133" w:type="pct"/>
            <w:tcBorders>
              <w:top w:val="nil"/>
              <w:left w:val="nil"/>
              <w:right w:val="nil"/>
            </w:tcBorders>
          </w:tcPr>
          <w:p w:rsidR="0022223F" w:rsidRDefault="0022223F">
            <w:pPr>
              <w:pStyle w:val="Infotext"/>
            </w:pPr>
          </w:p>
        </w:tc>
        <w:tc>
          <w:tcPr>
            <w:tcW w:w="2300" w:type="pct"/>
            <w:tcBorders>
              <w:top w:val="nil"/>
              <w:left w:val="nil"/>
            </w:tcBorders>
          </w:tcPr>
          <w:p w:rsidR="0022223F" w:rsidRDefault="0022223F">
            <w:pPr>
              <w:pStyle w:val="Infotext"/>
            </w:pPr>
          </w:p>
        </w:tc>
      </w:tr>
      <w:tr w:rsidR="0022223F">
        <w:tc>
          <w:tcPr>
            <w:tcW w:w="2320" w:type="pct"/>
            <w:tcBorders>
              <w:bottom w:val="nil"/>
              <w:right w:val="nil"/>
            </w:tcBorders>
          </w:tcPr>
          <w:p w:rsidR="0022223F" w:rsidRDefault="0022223F">
            <w:pPr>
              <w:pStyle w:val="Infotext"/>
            </w:pPr>
          </w:p>
          <w:p w:rsidR="0022223F" w:rsidRDefault="0022223F">
            <w:pPr>
              <w:pStyle w:val="Infotext"/>
            </w:pPr>
          </w:p>
        </w:tc>
        <w:tc>
          <w:tcPr>
            <w:tcW w:w="246" w:type="pct"/>
            <w:tcBorders>
              <w:left w:val="nil"/>
              <w:right w:val="nil"/>
            </w:tcBorders>
          </w:tcPr>
          <w:p w:rsidR="0022223F" w:rsidRDefault="0022223F">
            <w:pPr>
              <w:pStyle w:val="Infotext"/>
            </w:pPr>
          </w:p>
        </w:tc>
        <w:tc>
          <w:tcPr>
            <w:tcW w:w="133" w:type="pct"/>
            <w:tcBorders>
              <w:left w:val="nil"/>
              <w:bottom w:val="nil"/>
              <w:right w:val="nil"/>
            </w:tcBorders>
          </w:tcPr>
          <w:p w:rsidR="0022223F" w:rsidRDefault="0022223F">
            <w:pPr>
              <w:pStyle w:val="Infotext"/>
            </w:pPr>
          </w:p>
        </w:tc>
        <w:tc>
          <w:tcPr>
            <w:tcW w:w="2300" w:type="pct"/>
            <w:tcBorders>
              <w:left w:val="nil"/>
              <w:bottom w:val="nil"/>
            </w:tcBorders>
          </w:tcPr>
          <w:p w:rsidR="0022223F" w:rsidRDefault="0022223F">
            <w:pPr>
              <w:pStyle w:val="Infotext"/>
            </w:pPr>
          </w:p>
          <w:p w:rsidR="0022223F" w:rsidRDefault="0022223F">
            <w:pPr>
              <w:pStyle w:val="Infotext"/>
            </w:pPr>
            <w:r>
              <w:t>on behalf of the</w:t>
            </w:r>
          </w:p>
        </w:tc>
      </w:tr>
      <w:tr w:rsidR="0022223F">
        <w:tc>
          <w:tcPr>
            <w:tcW w:w="2320" w:type="pct"/>
            <w:tcBorders>
              <w:top w:val="nil"/>
              <w:bottom w:val="nil"/>
            </w:tcBorders>
          </w:tcPr>
          <w:p w:rsidR="0022223F" w:rsidRDefault="0022223F">
            <w:pPr>
              <w:pStyle w:val="Infotext"/>
            </w:pPr>
            <w:r>
              <w:t>Name: Jessica Farmer</w:t>
            </w:r>
          </w:p>
        </w:tc>
        <w:tc>
          <w:tcPr>
            <w:tcW w:w="246" w:type="pct"/>
          </w:tcPr>
          <w:p w:rsidR="0022223F" w:rsidRDefault="0022223F">
            <w:pPr>
              <w:pStyle w:val="Infotext"/>
            </w:pPr>
            <w:r>
              <w:t>x</w:t>
            </w:r>
          </w:p>
        </w:tc>
        <w:tc>
          <w:tcPr>
            <w:tcW w:w="133" w:type="pct"/>
            <w:tcBorders>
              <w:top w:val="nil"/>
              <w:bottom w:val="nil"/>
              <w:right w:val="nil"/>
            </w:tcBorders>
          </w:tcPr>
          <w:p w:rsidR="0022223F" w:rsidRDefault="0022223F">
            <w:pPr>
              <w:pStyle w:val="Infotext"/>
            </w:pPr>
          </w:p>
        </w:tc>
        <w:tc>
          <w:tcPr>
            <w:tcW w:w="2300" w:type="pct"/>
            <w:tcBorders>
              <w:top w:val="nil"/>
              <w:left w:val="nil"/>
              <w:bottom w:val="nil"/>
            </w:tcBorders>
          </w:tcPr>
          <w:p w:rsidR="0022223F" w:rsidRDefault="0022223F">
            <w:pPr>
              <w:pStyle w:val="Infotext"/>
            </w:pPr>
            <w:r>
              <w:t>Monitoring Officer</w:t>
            </w:r>
          </w:p>
        </w:tc>
      </w:tr>
      <w:tr w:rsidR="0022223F">
        <w:tc>
          <w:tcPr>
            <w:tcW w:w="2320" w:type="pct"/>
            <w:tcBorders>
              <w:top w:val="nil"/>
              <w:right w:val="nil"/>
            </w:tcBorders>
          </w:tcPr>
          <w:p w:rsidR="0022223F" w:rsidRDefault="0022223F">
            <w:pPr>
              <w:pStyle w:val="Infotext"/>
            </w:pPr>
          </w:p>
          <w:p w:rsidR="0022223F" w:rsidRDefault="0022223F" w:rsidP="000525C7">
            <w:pPr>
              <w:pStyle w:val="Infotext"/>
            </w:pPr>
            <w:r>
              <w:t>Date: 28 November 2014</w:t>
            </w:r>
          </w:p>
        </w:tc>
        <w:tc>
          <w:tcPr>
            <w:tcW w:w="246" w:type="pct"/>
            <w:tcBorders>
              <w:left w:val="nil"/>
              <w:right w:val="nil"/>
            </w:tcBorders>
          </w:tcPr>
          <w:p w:rsidR="0022223F" w:rsidRDefault="0022223F">
            <w:pPr>
              <w:pStyle w:val="Infotext"/>
            </w:pPr>
          </w:p>
        </w:tc>
        <w:tc>
          <w:tcPr>
            <w:tcW w:w="133" w:type="pct"/>
            <w:tcBorders>
              <w:top w:val="nil"/>
              <w:left w:val="nil"/>
              <w:right w:val="nil"/>
            </w:tcBorders>
          </w:tcPr>
          <w:p w:rsidR="0022223F" w:rsidRDefault="0022223F">
            <w:pPr>
              <w:pStyle w:val="Infotext"/>
            </w:pPr>
          </w:p>
        </w:tc>
        <w:tc>
          <w:tcPr>
            <w:tcW w:w="2300" w:type="pct"/>
            <w:tcBorders>
              <w:top w:val="nil"/>
              <w:left w:val="nil"/>
            </w:tcBorders>
          </w:tcPr>
          <w:p w:rsidR="0022223F" w:rsidRDefault="0022223F">
            <w:pPr>
              <w:pStyle w:val="Infotext"/>
            </w:pPr>
          </w:p>
          <w:p w:rsidR="0022223F" w:rsidRDefault="0022223F">
            <w:pPr>
              <w:pStyle w:val="Infotext"/>
            </w:pPr>
          </w:p>
        </w:tc>
      </w:tr>
    </w:tbl>
    <w:p w:rsidR="0022223F" w:rsidRDefault="0022223F"/>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67"/>
        <w:gridCol w:w="3831"/>
      </w:tblGrid>
      <w:tr w:rsidR="0022223F">
        <w:trPr>
          <w:trHeight w:val="965"/>
        </w:trPr>
        <w:tc>
          <w:tcPr>
            <w:tcW w:w="3025" w:type="pct"/>
            <w:tcBorders>
              <w:right w:val="nil"/>
            </w:tcBorders>
          </w:tcPr>
          <w:p w:rsidR="0022223F" w:rsidRDefault="0022223F" w:rsidP="001B05C7">
            <w:pPr>
              <w:pStyle w:val="Infotext"/>
              <w:rPr>
                <w:rFonts w:ascii="Arial Black" w:hAnsi="Arial Black" w:cs="Arial Black"/>
              </w:rPr>
            </w:pPr>
          </w:p>
          <w:p w:rsidR="0022223F" w:rsidRDefault="0022223F" w:rsidP="001B05C7">
            <w:pPr>
              <w:pStyle w:val="Infotext"/>
              <w:rPr>
                <w:rFonts w:ascii="Arial Black" w:hAnsi="Arial Black" w:cs="Arial Black"/>
              </w:rPr>
            </w:pPr>
            <w:r>
              <w:rPr>
                <w:rFonts w:ascii="Arial Black" w:hAnsi="Arial Black" w:cs="Arial Black"/>
              </w:rPr>
              <w:t>Ward Councillors notified:</w:t>
            </w:r>
          </w:p>
          <w:p w:rsidR="0022223F" w:rsidRPr="00BD2E91" w:rsidRDefault="0022223F" w:rsidP="001B05C7">
            <w:pPr>
              <w:pStyle w:val="Infotext"/>
              <w:rPr>
                <w:color w:val="FF0000"/>
              </w:rPr>
            </w:pPr>
          </w:p>
        </w:tc>
        <w:tc>
          <w:tcPr>
            <w:tcW w:w="1975" w:type="pct"/>
            <w:tcBorders>
              <w:left w:val="nil"/>
            </w:tcBorders>
          </w:tcPr>
          <w:p w:rsidR="0022223F" w:rsidRDefault="0022223F" w:rsidP="001B05C7">
            <w:pPr>
              <w:pStyle w:val="Infotext"/>
            </w:pPr>
          </w:p>
          <w:p w:rsidR="0022223F" w:rsidRPr="00A406F3" w:rsidRDefault="0022223F" w:rsidP="001B05C7">
            <w:pPr>
              <w:pStyle w:val="Infotext"/>
              <w:spacing w:before="120"/>
              <w:rPr>
                <w:b/>
                <w:bCs/>
              </w:rPr>
            </w:pPr>
            <w:r w:rsidRPr="00A406F3">
              <w:rPr>
                <w:b/>
                <w:bCs/>
              </w:rPr>
              <w:t>NO</w:t>
            </w:r>
            <w:r w:rsidRPr="00333FAA">
              <w:rPr>
                <w:b/>
                <w:bCs/>
              </w:rPr>
              <w:t>, as it impacts on all Wards</w:t>
            </w:r>
          </w:p>
          <w:p w:rsidR="0022223F" w:rsidRDefault="0022223F" w:rsidP="001B05C7">
            <w:pPr>
              <w:pStyle w:val="Infotext"/>
              <w:rPr>
                <w:i/>
                <w:iCs/>
                <w:sz w:val="24"/>
                <w:szCs w:val="24"/>
              </w:rPr>
            </w:pPr>
            <w:r>
              <w:rPr>
                <w:i/>
                <w:iCs/>
                <w:sz w:val="24"/>
                <w:szCs w:val="24"/>
              </w:rPr>
              <w:t xml:space="preserve">. </w:t>
            </w:r>
          </w:p>
          <w:p w:rsidR="0022223F" w:rsidRPr="003D78F6" w:rsidRDefault="0022223F" w:rsidP="001B05C7">
            <w:pPr>
              <w:pStyle w:val="Infotext"/>
              <w:ind w:left="173"/>
              <w:rPr>
                <w:i/>
                <w:iCs/>
                <w:sz w:val="24"/>
                <w:szCs w:val="24"/>
              </w:rPr>
            </w:pPr>
          </w:p>
        </w:tc>
      </w:tr>
      <w:tr w:rsidR="0022223F" w:rsidRPr="00303FD6">
        <w:trPr>
          <w:trHeight w:val="965"/>
        </w:trPr>
        <w:tc>
          <w:tcPr>
            <w:tcW w:w="3025" w:type="pct"/>
            <w:tcBorders>
              <w:right w:val="nil"/>
            </w:tcBorders>
          </w:tcPr>
          <w:p w:rsidR="0022223F" w:rsidRPr="00202D79" w:rsidRDefault="0022223F" w:rsidP="001B05C7">
            <w:pPr>
              <w:pStyle w:val="Infotext"/>
              <w:rPr>
                <w:rFonts w:ascii="Arial Black" w:hAnsi="Arial Black" w:cs="Arial Black"/>
              </w:rPr>
            </w:pPr>
            <w:r w:rsidRPr="00202D79">
              <w:rPr>
                <w:rFonts w:ascii="Arial Black" w:hAnsi="Arial Black" w:cs="Arial Black"/>
              </w:rPr>
              <w:t>EqIA carried out:</w:t>
            </w:r>
          </w:p>
          <w:p w:rsidR="0022223F" w:rsidRPr="00202D79" w:rsidRDefault="0022223F" w:rsidP="001B05C7">
            <w:pPr>
              <w:pStyle w:val="Infotext"/>
              <w:rPr>
                <w:rFonts w:ascii="Arial Black" w:hAnsi="Arial Black" w:cs="Arial Black"/>
              </w:rPr>
            </w:pPr>
          </w:p>
          <w:p w:rsidR="0022223F" w:rsidRPr="00303FD6" w:rsidRDefault="0022223F" w:rsidP="001B05C7">
            <w:pPr>
              <w:pStyle w:val="Infotext"/>
              <w:rPr>
                <w:rFonts w:ascii="Arial Black" w:hAnsi="Arial Black" w:cs="Arial Black"/>
                <w:color w:val="FF0000"/>
              </w:rPr>
            </w:pPr>
            <w:r w:rsidRPr="00202D79">
              <w:rPr>
                <w:rFonts w:ascii="Arial Black" w:hAnsi="Arial Black" w:cs="Arial Black"/>
              </w:rPr>
              <w:t>EqIA cleared by:</w:t>
            </w:r>
          </w:p>
        </w:tc>
        <w:tc>
          <w:tcPr>
            <w:tcW w:w="1975" w:type="pct"/>
            <w:tcBorders>
              <w:left w:val="nil"/>
            </w:tcBorders>
          </w:tcPr>
          <w:p w:rsidR="0022223F" w:rsidRPr="00202D79" w:rsidRDefault="0022223F" w:rsidP="001B05C7">
            <w:pPr>
              <w:pStyle w:val="Infotext"/>
              <w:rPr>
                <w:b/>
                <w:bCs/>
              </w:rPr>
            </w:pPr>
            <w:r w:rsidRPr="00202D79">
              <w:rPr>
                <w:b/>
                <w:bCs/>
              </w:rPr>
              <w:t>NO</w:t>
            </w:r>
          </w:p>
          <w:p w:rsidR="0022223F" w:rsidRDefault="0022223F" w:rsidP="001B05C7">
            <w:pPr>
              <w:pStyle w:val="Infotext"/>
              <w:rPr>
                <w:i/>
                <w:iCs/>
                <w:sz w:val="24"/>
                <w:szCs w:val="24"/>
              </w:rPr>
            </w:pPr>
            <w:r>
              <w:rPr>
                <w:i/>
                <w:iCs/>
                <w:sz w:val="24"/>
                <w:szCs w:val="24"/>
              </w:rPr>
              <w:t xml:space="preserve">. </w:t>
            </w:r>
          </w:p>
          <w:p w:rsidR="0022223F" w:rsidRPr="00303FD6" w:rsidRDefault="0022223F" w:rsidP="001B05C7">
            <w:pPr>
              <w:pStyle w:val="Infotext"/>
              <w:rPr>
                <w:b/>
                <w:bCs/>
                <w:color w:val="FF0000"/>
              </w:rPr>
            </w:pPr>
          </w:p>
          <w:p w:rsidR="0022223F" w:rsidRPr="00202D79" w:rsidRDefault="0022223F" w:rsidP="001B05C7">
            <w:pPr>
              <w:pStyle w:val="Infotext"/>
            </w:pPr>
            <w:r>
              <w:t>Information for noting only</w:t>
            </w:r>
          </w:p>
          <w:p w:rsidR="0022223F" w:rsidRPr="00303FD6" w:rsidRDefault="0022223F" w:rsidP="001B05C7">
            <w:pPr>
              <w:pStyle w:val="Infotext"/>
              <w:rPr>
                <w:color w:val="FF0000"/>
              </w:rPr>
            </w:pPr>
          </w:p>
        </w:tc>
      </w:tr>
    </w:tbl>
    <w:p w:rsidR="0022223F" w:rsidRDefault="0022223F"/>
    <w:p w:rsidR="0022223F" w:rsidRDefault="0022223F"/>
    <w:p w:rsidR="0022223F" w:rsidRDefault="0022223F" w:rsidP="00721C7C"/>
    <w:p w:rsidR="0022223F" w:rsidRDefault="0022223F" w:rsidP="007A2F3B">
      <w:pPr>
        <w:pStyle w:val="Heading1"/>
        <w:keepNext/>
      </w:pPr>
      <w:r>
        <w:t>Section 6 - Contact Details and Background Papers</w:t>
      </w:r>
    </w:p>
    <w:p w:rsidR="0022223F" w:rsidRDefault="0022223F" w:rsidP="007A2F3B">
      <w:pPr>
        <w:keepNext/>
      </w:pPr>
    </w:p>
    <w:p w:rsidR="0022223F" w:rsidRDefault="0022223F" w:rsidP="007A2F3B">
      <w:pPr>
        <w:keepNext/>
      </w:pPr>
    </w:p>
    <w:p w:rsidR="0022223F" w:rsidRPr="004E47FC" w:rsidRDefault="0022223F">
      <w:pPr>
        <w:pStyle w:val="Infotext"/>
        <w:rPr>
          <w:b/>
          <w:bCs/>
        </w:rPr>
      </w:pPr>
      <w:r w:rsidRPr="004E47FC">
        <w:rPr>
          <w:b/>
          <w:bCs/>
        </w:rPr>
        <w:t xml:space="preserve">Contact:  </w:t>
      </w:r>
    </w:p>
    <w:p w:rsidR="0022223F" w:rsidRDefault="0022223F">
      <w:r w:rsidRPr="00067A2E">
        <w:t>Dawn Calvert (</w:t>
      </w:r>
      <w:hyperlink r:id="rId11" w:history="1">
        <w:r w:rsidRPr="00C22A2B">
          <w:rPr>
            <w:rStyle w:val="Hyperlink"/>
            <w:rFonts w:cs="Arial"/>
          </w:rPr>
          <w:t>dawn.calvert@harrow.gov.uk</w:t>
        </w:r>
      </w:hyperlink>
      <w:r w:rsidRPr="00067A2E">
        <w:t>)</w:t>
      </w:r>
      <w:r>
        <w:t>, Head of Strategic Finance &amp; Business</w:t>
      </w:r>
    </w:p>
    <w:p w:rsidR="0022223F" w:rsidRDefault="0022223F">
      <w:r>
        <w:t>Tel: 020 8424 1393</w:t>
      </w:r>
    </w:p>
    <w:p w:rsidR="0022223F" w:rsidRDefault="0022223F"/>
    <w:p w:rsidR="0022223F" w:rsidRDefault="0022223F">
      <w:pPr>
        <w:pStyle w:val="Infotext"/>
        <w:rPr>
          <w:b/>
          <w:bCs/>
        </w:rPr>
      </w:pPr>
      <w:r w:rsidRPr="004E47FC">
        <w:rPr>
          <w:b/>
          <w:bCs/>
        </w:rPr>
        <w:t xml:space="preserve">Background Papers: </w:t>
      </w:r>
    </w:p>
    <w:p w:rsidR="0022223F" w:rsidRPr="001C51B9" w:rsidRDefault="0022223F">
      <w:pPr>
        <w:pStyle w:val="Infotext"/>
        <w:rPr>
          <w:rStyle w:val="Hyperlink"/>
          <w:rFonts w:cs="Arial"/>
          <w:sz w:val="24"/>
          <w:szCs w:val="24"/>
        </w:rPr>
      </w:pPr>
      <w:hyperlink r:id="rId12" w:history="1">
        <w:r w:rsidRPr="001C51B9">
          <w:rPr>
            <w:rStyle w:val="Hyperlink"/>
            <w:rFonts w:cs="Arial"/>
            <w:b/>
            <w:bCs/>
            <w:sz w:val="24"/>
            <w:szCs w:val="24"/>
          </w:rPr>
          <w:t>Cabinet Report February 2014: Final Revenue Budget 2014/15 and Medium Term Financial Strategy 2014-15 to 2016-17</w:t>
        </w:r>
      </w:hyperlink>
      <w:r w:rsidRPr="001C51B9">
        <w:rPr>
          <w:rStyle w:val="Hyperlink"/>
          <w:rFonts w:cs="Arial"/>
          <w:b/>
          <w:bCs/>
          <w:sz w:val="24"/>
          <w:szCs w:val="24"/>
        </w:rPr>
        <w:t xml:space="preserve"> and EIA.</w:t>
      </w:r>
    </w:p>
    <w:p w:rsidR="0022223F" w:rsidRPr="001C51B9" w:rsidRDefault="0022223F">
      <w:pPr>
        <w:pStyle w:val="Infotext"/>
        <w:rPr>
          <w:b/>
          <w:bCs/>
          <w:sz w:val="24"/>
          <w:szCs w:val="24"/>
        </w:rPr>
      </w:pPr>
      <w:hyperlink r:id="rId13" w:history="1">
        <w:r w:rsidRPr="001C51B9">
          <w:rPr>
            <w:rStyle w:val="Hyperlink"/>
            <w:rFonts w:cs="Arial"/>
            <w:b/>
            <w:bCs/>
            <w:sz w:val="24"/>
            <w:szCs w:val="24"/>
          </w:rPr>
          <w:t>Cabinet Report June 2014: Revenue and Capital Outturn 2013-14</w:t>
        </w:r>
      </w:hyperlink>
    </w:p>
    <w:p w:rsidR="0022223F" w:rsidRDefault="0022223F">
      <w:pPr>
        <w:pStyle w:val="Infotext"/>
        <w:rPr>
          <w:b/>
          <w:bCs/>
        </w:rPr>
      </w:pPr>
    </w:p>
    <w:p w:rsidR="0022223F" w:rsidRDefault="0022223F">
      <w:pPr>
        <w:pStyle w:val="Infotext"/>
        <w:rPr>
          <w:b/>
          <w:b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86"/>
        <w:gridCol w:w="623"/>
        <w:gridCol w:w="4789"/>
      </w:tblGrid>
      <w:tr w:rsidR="0022223F">
        <w:trPr>
          <w:trHeight w:val="965"/>
        </w:trPr>
        <w:tc>
          <w:tcPr>
            <w:tcW w:w="2210" w:type="pct"/>
            <w:tcBorders>
              <w:right w:val="nil"/>
            </w:tcBorders>
          </w:tcPr>
          <w:p w:rsidR="0022223F" w:rsidRPr="007C0DC3" w:rsidRDefault="0022223F" w:rsidP="00D36D73">
            <w:pPr>
              <w:pStyle w:val="Infotext"/>
              <w:rPr>
                <w:rFonts w:ascii="Arial Black" w:hAnsi="Arial Black" w:cs="Arial Black"/>
              </w:rPr>
            </w:pPr>
            <w:r w:rsidRPr="007C0DC3">
              <w:rPr>
                <w:rFonts w:ascii="Arial Black" w:hAnsi="Arial Black" w:cs="Arial Black"/>
              </w:rPr>
              <w:t>Call-In Waived by the Chairman of Overview and Scrutiny Committee</w:t>
            </w:r>
          </w:p>
          <w:p w:rsidR="0022223F" w:rsidRDefault="0022223F" w:rsidP="0001716B">
            <w:pPr>
              <w:pStyle w:val="Infotext"/>
            </w:pPr>
          </w:p>
        </w:tc>
        <w:tc>
          <w:tcPr>
            <w:tcW w:w="321" w:type="pct"/>
            <w:tcBorders>
              <w:left w:val="nil"/>
              <w:right w:val="nil"/>
            </w:tcBorders>
          </w:tcPr>
          <w:p w:rsidR="0022223F" w:rsidRDefault="0022223F" w:rsidP="00D36D73">
            <w:pPr>
              <w:pStyle w:val="Infotext"/>
            </w:pPr>
          </w:p>
        </w:tc>
        <w:tc>
          <w:tcPr>
            <w:tcW w:w="2469" w:type="pct"/>
            <w:tcBorders>
              <w:left w:val="nil"/>
            </w:tcBorders>
          </w:tcPr>
          <w:p w:rsidR="0022223F" w:rsidRDefault="0022223F" w:rsidP="00D36D73">
            <w:pPr>
              <w:pStyle w:val="Infotext"/>
              <w:rPr>
                <w:b/>
                <w:bCs/>
              </w:rPr>
            </w:pPr>
            <w:r w:rsidRPr="003D78F6">
              <w:rPr>
                <w:b/>
                <w:bCs/>
              </w:rPr>
              <w:t>NOT APPLICABLE</w:t>
            </w:r>
          </w:p>
          <w:p w:rsidR="0022223F" w:rsidRDefault="0022223F" w:rsidP="00D36D73">
            <w:pPr>
              <w:pStyle w:val="Infotext"/>
              <w:rPr>
                <w:b/>
                <w:bCs/>
              </w:rPr>
            </w:pPr>
          </w:p>
          <w:p w:rsidR="0022223F" w:rsidRPr="00166314" w:rsidRDefault="0022223F" w:rsidP="00D36D73">
            <w:pPr>
              <w:pStyle w:val="Infotext"/>
              <w:rPr>
                <w:i/>
                <w:iCs/>
                <w:sz w:val="24"/>
                <w:szCs w:val="24"/>
              </w:rPr>
            </w:pPr>
            <w:r w:rsidRPr="00166314">
              <w:rPr>
                <w:i/>
                <w:iCs/>
                <w:sz w:val="24"/>
                <w:szCs w:val="24"/>
              </w:rPr>
              <w:t>[Call-in does not apply as the recommendations are for noting only]</w:t>
            </w:r>
          </w:p>
          <w:p w:rsidR="0022223F" w:rsidRDefault="0022223F" w:rsidP="00D36D73">
            <w:pPr>
              <w:pStyle w:val="Infotext"/>
            </w:pPr>
          </w:p>
          <w:p w:rsidR="0022223F" w:rsidRPr="003D78F6" w:rsidRDefault="0022223F" w:rsidP="004F5DE0">
            <w:pPr>
              <w:pStyle w:val="Infotext"/>
              <w:ind w:left="173"/>
              <w:rPr>
                <w:i/>
                <w:iCs/>
                <w:sz w:val="24"/>
                <w:szCs w:val="24"/>
              </w:rPr>
            </w:pPr>
          </w:p>
        </w:tc>
      </w:tr>
    </w:tbl>
    <w:p w:rsidR="0022223F" w:rsidRDefault="0022223F">
      <w:pPr>
        <w:pStyle w:val="Infotext"/>
        <w:rPr>
          <w:b/>
          <w:bCs/>
        </w:rPr>
      </w:pPr>
    </w:p>
    <w:p w:rsidR="0022223F" w:rsidRDefault="0022223F">
      <w:pPr>
        <w:pStyle w:val="Infotext"/>
        <w:rPr>
          <w:b/>
          <w:bCs/>
        </w:rPr>
      </w:pPr>
      <w:r>
        <w:rPr>
          <w:b/>
          <w:bCs/>
        </w:rPr>
        <w:br w:type="page"/>
      </w:r>
    </w:p>
    <w:p w:rsidR="0022223F" w:rsidRDefault="0022223F">
      <w:pPr>
        <w:rPr>
          <w:b/>
          <w:bCs/>
          <w:sz w:val="28"/>
          <w:szCs w:val="28"/>
        </w:rPr>
      </w:pPr>
      <w:r w:rsidRPr="00CB7A9B">
        <w:rPr>
          <w:noProof/>
          <w:lang w:val="en-US"/>
        </w:rPr>
        <w:pict>
          <v:shape id="Picture 3" o:spid="_x0000_i1029" type="#_x0000_t75" style="width:442.5pt;height:721.5pt;visibility:visible">
            <v:imagedata r:id="rId14" o:title=""/>
          </v:shape>
        </w:pict>
      </w:r>
      <w:r>
        <w:rPr>
          <w:b/>
          <w:bCs/>
        </w:rPr>
        <w:br w:type="page"/>
      </w:r>
    </w:p>
    <w:p w:rsidR="0022223F" w:rsidRDefault="0022223F" w:rsidP="001C51B9">
      <w:pPr>
        <w:pStyle w:val="Infotext"/>
        <w:jc w:val="center"/>
        <w:rPr>
          <w:b/>
          <w:bCs/>
        </w:rPr>
      </w:pPr>
    </w:p>
    <w:p w:rsidR="0022223F" w:rsidRDefault="0022223F" w:rsidP="001C51B9">
      <w:pPr>
        <w:pStyle w:val="Infotext"/>
        <w:jc w:val="center"/>
        <w:rPr>
          <w:b/>
          <w:bCs/>
        </w:rPr>
      </w:pPr>
    </w:p>
    <w:p w:rsidR="0022223F" w:rsidRDefault="0022223F" w:rsidP="001C51B9">
      <w:pPr>
        <w:pStyle w:val="Infotext"/>
        <w:jc w:val="center"/>
        <w:rPr>
          <w:b/>
          <w:bCs/>
        </w:rPr>
      </w:pPr>
    </w:p>
    <w:p w:rsidR="0022223F" w:rsidRDefault="0022223F" w:rsidP="001C51B9">
      <w:pPr>
        <w:pStyle w:val="Infotext"/>
        <w:jc w:val="center"/>
        <w:rPr>
          <w:b/>
          <w:bCs/>
        </w:rPr>
      </w:pPr>
    </w:p>
    <w:p w:rsidR="0022223F" w:rsidRDefault="0022223F" w:rsidP="001C51B9">
      <w:pPr>
        <w:pStyle w:val="Infotext"/>
        <w:jc w:val="center"/>
        <w:rPr>
          <w:b/>
          <w:bCs/>
        </w:rPr>
      </w:pPr>
    </w:p>
    <w:p w:rsidR="0022223F" w:rsidRDefault="0022223F" w:rsidP="001C51B9">
      <w:pPr>
        <w:pStyle w:val="Infotext"/>
        <w:jc w:val="center"/>
        <w:rPr>
          <w:b/>
          <w:bCs/>
        </w:rPr>
      </w:pPr>
    </w:p>
    <w:p w:rsidR="0022223F" w:rsidRDefault="0022223F" w:rsidP="001C51B9">
      <w:pPr>
        <w:pStyle w:val="Infotext"/>
        <w:jc w:val="center"/>
        <w:rPr>
          <w:b/>
          <w:bCs/>
        </w:rPr>
      </w:pPr>
    </w:p>
    <w:p w:rsidR="0022223F" w:rsidRDefault="0022223F" w:rsidP="001C51B9">
      <w:pPr>
        <w:pStyle w:val="Infotext"/>
        <w:jc w:val="center"/>
        <w:rPr>
          <w:b/>
          <w:bCs/>
        </w:rPr>
      </w:pPr>
    </w:p>
    <w:p w:rsidR="0022223F" w:rsidRPr="001C51B9" w:rsidRDefault="0022223F" w:rsidP="001C51B9">
      <w:pPr>
        <w:pStyle w:val="Infotext"/>
        <w:jc w:val="center"/>
        <w:sectPr w:rsidR="0022223F" w:rsidRPr="001C51B9" w:rsidSect="00486411">
          <w:footerReference w:type="default" r:id="rId15"/>
          <w:footerReference w:type="first" r:id="rId16"/>
          <w:pgSz w:w="11909" w:h="16834" w:code="9"/>
          <w:pgMar w:top="720" w:right="1440" w:bottom="1152" w:left="987" w:header="720" w:footer="432" w:gutter="0"/>
          <w:cols w:space="720"/>
          <w:titlePg/>
          <w:docGrid w:linePitch="360"/>
        </w:sectPr>
      </w:pPr>
      <w:r w:rsidRPr="001C51B9">
        <w:t>This page is intentionally left blank</w:t>
      </w:r>
    </w:p>
    <w:tbl>
      <w:tblPr>
        <w:tblW w:w="14060" w:type="dxa"/>
        <w:tblInd w:w="-106" w:type="dxa"/>
        <w:tblLook w:val="00A0"/>
      </w:tblPr>
      <w:tblGrid>
        <w:gridCol w:w="1241"/>
        <w:gridCol w:w="3859"/>
        <w:gridCol w:w="1080"/>
        <w:gridCol w:w="1080"/>
        <w:gridCol w:w="1080"/>
        <w:gridCol w:w="1080"/>
        <w:gridCol w:w="4640"/>
      </w:tblGrid>
      <w:tr w:rsidR="0022223F" w:rsidRPr="00A71BC9">
        <w:trPr>
          <w:trHeight w:val="300"/>
          <w:tblHeader/>
        </w:trPr>
        <w:tc>
          <w:tcPr>
            <w:tcW w:w="5100" w:type="dxa"/>
            <w:gridSpan w:val="2"/>
            <w:tcBorders>
              <w:top w:val="nil"/>
              <w:left w:val="nil"/>
              <w:bottom w:val="nil"/>
              <w:right w:val="nil"/>
            </w:tcBorders>
            <w:noWrap/>
            <w:vAlign w:val="bottom"/>
          </w:tcPr>
          <w:p w:rsidR="0022223F" w:rsidRPr="00A71BC9" w:rsidRDefault="0022223F" w:rsidP="00A71BC9">
            <w:pPr>
              <w:rPr>
                <w:b/>
                <w:bCs/>
                <w:color w:val="000000"/>
                <w:lang w:eastAsia="en-GB"/>
              </w:rPr>
            </w:pPr>
            <w:r w:rsidRPr="00A71BC9">
              <w:rPr>
                <w:b/>
                <w:bCs/>
                <w:color w:val="000000"/>
                <w:sz w:val="22"/>
                <w:szCs w:val="22"/>
                <w:lang w:eastAsia="en-GB"/>
              </w:rPr>
              <w:t>MTFS 2014/15 to 2016/17 – Savings</w:t>
            </w:r>
          </w:p>
        </w:tc>
        <w:tc>
          <w:tcPr>
            <w:tcW w:w="1080" w:type="dxa"/>
            <w:tcBorders>
              <w:top w:val="nil"/>
              <w:left w:val="nil"/>
              <w:bottom w:val="nil"/>
              <w:right w:val="nil"/>
            </w:tcBorders>
            <w:noWrap/>
            <w:vAlign w:val="bottom"/>
          </w:tcPr>
          <w:p w:rsidR="0022223F" w:rsidRPr="00A71BC9" w:rsidRDefault="0022223F" w:rsidP="00A71BC9">
            <w:pPr>
              <w:rPr>
                <w:color w:val="000000"/>
                <w:lang w:eastAsia="en-GB"/>
              </w:rPr>
            </w:pPr>
          </w:p>
        </w:tc>
        <w:tc>
          <w:tcPr>
            <w:tcW w:w="1080" w:type="dxa"/>
            <w:tcBorders>
              <w:top w:val="nil"/>
              <w:left w:val="nil"/>
              <w:bottom w:val="nil"/>
              <w:right w:val="nil"/>
            </w:tcBorders>
            <w:noWrap/>
            <w:vAlign w:val="bottom"/>
          </w:tcPr>
          <w:p w:rsidR="0022223F" w:rsidRPr="00A71BC9" w:rsidRDefault="0022223F" w:rsidP="00A71BC9">
            <w:pPr>
              <w:rPr>
                <w:color w:val="000000"/>
                <w:lang w:eastAsia="en-GB"/>
              </w:rPr>
            </w:pPr>
          </w:p>
        </w:tc>
        <w:tc>
          <w:tcPr>
            <w:tcW w:w="1080" w:type="dxa"/>
            <w:tcBorders>
              <w:top w:val="nil"/>
              <w:left w:val="nil"/>
              <w:bottom w:val="nil"/>
              <w:right w:val="nil"/>
            </w:tcBorders>
            <w:noWrap/>
            <w:vAlign w:val="bottom"/>
          </w:tcPr>
          <w:p w:rsidR="0022223F" w:rsidRPr="00A71BC9" w:rsidRDefault="0022223F" w:rsidP="00A71BC9">
            <w:pPr>
              <w:rPr>
                <w:color w:val="000000"/>
                <w:lang w:eastAsia="en-GB"/>
              </w:rPr>
            </w:pPr>
          </w:p>
        </w:tc>
        <w:tc>
          <w:tcPr>
            <w:tcW w:w="1080" w:type="dxa"/>
            <w:tcBorders>
              <w:top w:val="nil"/>
              <w:left w:val="nil"/>
              <w:bottom w:val="nil"/>
              <w:right w:val="nil"/>
            </w:tcBorders>
            <w:noWrap/>
            <w:vAlign w:val="bottom"/>
          </w:tcPr>
          <w:p w:rsidR="0022223F" w:rsidRPr="00A71BC9" w:rsidRDefault="0022223F" w:rsidP="00A71BC9">
            <w:pPr>
              <w:rPr>
                <w:color w:val="000000"/>
                <w:lang w:eastAsia="en-GB"/>
              </w:rPr>
            </w:pPr>
          </w:p>
        </w:tc>
        <w:tc>
          <w:tcPr>
            <w:tcW w:w="4640" w:type="dxa"/>
            <w:tcBorders>
              <w:top w:val="nil"/>
              <w:left w:val="nil"/>
              <w:bottom w:val="nil"/>
              <w:right w:val="nil"/>
            </w:tcBorders>
            <w:noWrap/>
            <w:vAlign w:val="bottom"/>
          </w:tcPr>
          <w:p w:rsidR="0022223F" w:rsidRPr="00A71BC9" w:rsidRDefault="0022223F" w:rsidP="00A71BC9">
            <w:pPr>
              <w:jc w:val="right"/>
              <w:rPr>
                <w:b/>
                <w:bCs/>
                <w:color w:val="000000"/>
                <w:sz w:val="20"/>
                <w:szCs w:val="20"/>
                <w:lang w:eastAsia="en-GB"/>
              </w:rPr>
            </w:pPr>
            <w:r w:rsidRPr="00A71BC9">
              <w:rPr>
                <w:b/>
                <w:bCs/>
                <w:color w:val="000000"/>
                <w:sz w:val="20"/>
                <w:szCs w:val="20"/>
                <w:lang w:eastAsia="en-GB"/>
              </w:rPr>
              <w:t>Appendix 2</w:t>
            </w:r>
          </w:p>
        </w:tc>
      </w:tr>
      <w:tr w:rsidR="0022223F" w:rsidRPr="00A71BC9">
        <w:trPr>
          <w:trHeight w:val="285"/>
          <w:tblHeader/>
        </w:trPr>
        <w:tc>
          <w:tcPr>
            <w:tcW w:w="1241" w:type="dxa"/>
            <w:tcBorders>
              <w:top w:val="single" w:sz="4" w:space="0" w:color="auto"/>
              <w:left w:val="single" w:sz="4" w:space="0" w:color="auto"/>
              <w:bottom w:val="single" w:sz="4" w:space="0" w:color="auto"/>
              <w:right w:val="single" w:sz="4" w:space="0" w:color="auto"/>
            </w:tcBorders>
            <w:shd w:val="clear" w:color="CCCCFF" w:fill="C0C0C0"/>
            <w:noWrap/>
          </w:tcPr>
          <w:p w:rsidR="0022223F" w:rsidRPr="00A71BC9" w:rsidRDefault="0022223F" w:rsidP="00A71BC9">
            <w:pPr>
              <w:rPr>
                <w:b/>
                <w:bCs/>
                <w:sz w:val="18"/>
                <w:szCs w:val="18"/>
                <w:lang w:eastAsia="en-GB"/>
              </w:rPr>
            </w:pPr>
            <w:r w:rsidRPr="00A71BC9">
              <w:rPr>
                <w:b/>
                <w:bCs/>
                <w:sz w:val="18"/>
                <w:szCs w:val="18"/>
                <w:lang w:eastAsia="en-GB"/>
              </w:rPr>
              <w:t>Item No</w:t>
            </w:r>
          </w:p>
        </w:tc>
        <w:tc>
          <w:tcPr>
            <w:tcW w:w="3859" w:type="dxa"/>
            <w:tcBorders>
              <w:top w:val="single" w:sz="4" w:space="0" w:color="auto"/>
              <w:left w:val="nil"/>
              <w:bottom w:val="single" w:sz="4" w:space="0" w:color="auto"/>
              <w:right w:val="single" w:sz="4" w:space="0" w:color="auto"/>
            </w:tcBorders>
            <w:shd w:val="clear" w:color="CCCCFF" w:fill="C0C0C0"/>
            <w:vAlign w:val="bottom"/>
          </w:tcPr>
          <w:p w:rsidR="0022223F" w:rsidRPr="00A71BC9" w:rsidRDefault="0022223F" w:rsidP="00A71BC9">
            <w:pPr>
              <w:rPr>
                <w:b/>
                <w:bCs/>
                <w:sz w:val="18"/>
                <w:szCs w:val="18"/>
                <w:lang w:eastAsia="en-GB"/>
              </w:rPr>
            </w:pPr>
            <w:r w:rsidRPr="00A71BC9">
              <w:rPr>
                <w:b/>
                <w:bCs/>
                <w:sz w:val="18"/>
                <w:szCs w:val="18"/>
                <w:lang w:eastAsia="en-GB"/>
              </w:rPr>
              <w:t> </w:t>
            </w:r>
          </w:p>
        </w:tc>
        <w:tc>
          <w:tcPr>
            <w:tcW w:w="1080" w:type="dxa"/>
            <w:tcBorders>
              <w:top w:val="single" w:sz="4" w:space="0" w:color="auto"/>
              <w:left w:val="nil"/>
              <w:bottom w:val="single" w:sz="4" w:space="0" w:color="auto"/>
              <w:right w:val="single" w:sz="4" w:space="0" w:color="auto"/>
            </w:tcBorders>
            <w:shd w:val="clear" w:color="CCCCFF" w:fill="C0C0C0"/>
            <w:vAlign w:val="bottom"/>
          </w:tcPr>
          <w:p w:rsidR="0022223F" w:rsidRPr="00A71BC9" w:rsidRDefault="0022223F" w:rsidP="00A71BC9">
            <w:pPr>
              <w:jc w:val="right"/>
              <w:rPr>
                <w:b/>
                <w:bCs/>
                <w:sz w:val="18"/>
                <w:szCs w:val="18"/>
                <w:lang w:eastAsia="en-GB"/>
              </w:rPr>
            </w:pPr>
            <w:r w:rsidRPr="00A71BC9">
              <w:rPr>
                <w:b/>
                <w:bCs/>
                <w:sz w:val="18"/>
                <w:szCs w:val="18"/>
                <w:lang w:eastAsia="en-GB"/>
              </w:rPr>
              <w:t>2014-15</w:t>
            </w:r>
          </w:p>
        </w:tc>
        <w:tc>
          <w:tcPr>
            <w:tcW w:w="1080" w:type="dxa"/>
            <w:tcBorders>
              <w:top w:val="single" w:sz="4" w:space="0" w:color="auto"/>
              <w:left w:val="nil"/>
              <w:bottom w:val="single" w:sz="4" w:space="0" w:color="auto"/>
              <w:right w:val="single" w:sz="4" w:space="0" w:color="auto"/>
            </w:tcBorders>
            <w:shd w:val="clear" w:color="CCCCFF" w:fill="C0C0C0"/>
            <w:vAlign w:val="bottom"/>
          </w:tcPr>
          <w:p w:rsidR="0022223F" w:rsidRPr="00A71BC9" w:rsidRDefault="0022223F" w:rsidP="00A71BC9">
            <w:pPr>
              <w:jc w:val="right"/>
              <w:rPr>
                <w:b/>
                <w:bCs/>
                <w:sz w:val="18"/>
                <w:szCs w:val="18"/>
                <w:lang w:eastAsia="en-GB"/>
              </w:rPr>
            </w:pPr>
            <w:r w:rsidRPr="00A71BC9">
              <w:rPr>
                <w:b/>
                <w:bCs/>
                <w:sz w:val="18"/>
                <w:szCs w:val="18"/>
                <w:lang w:eastAsia="en-GB"/>
              </w:rPr>
              <w:t>2015-16</w:t>
            </w:r>
          </w:p>
        </w:tc>
        <w:tc>
          <w:tcPr>
            <w:tcW w:w="1080" w:type="dxa"/>
            <w:tcBorders>
              <w:top w:val="single" w:sz="4" w:space="0" w:color="auto"/>
              <w:left w:val="nil"/>
              <w:bottom w:val="single" w:sz="4" w:space="0" w:color="auto"/>
              <w:right w:val="single" w:sz="4" w:space="0" w:color="auto"/>
            </w:tcBorders>
            <w:shd w:val="clear" w:color="CCCCFF" w:fill="C0C0C0"/>
            <w:vAlign w:val="bottom"/>
          </w:tcPr>
          <w:p w:rsidR="0022223F" w:rsidRPr="00A71BC9" w:rsidRDefault="0022223F" w:rsidP="00A71BC9">
            <w:pPr>
              <w:jc w:val="right"/>
              <w:rPr>
                <w:b/>
                <w:bCs/>
                <w:sz w:val="18"/>
                <w:szCs w:val="18"/>
                <w:lang w:eastAsia="en-GB"/>
              </w:rPr>
            </w:pPr>
            <w:r w:rsidRPr="00A71BC9">
              <w:rPr>
                <w:b/>
                <w:bCs/>
                <w:sz w:val="18"/>
                <w:szCs w:val="18"/>
                <w:lang w:eastAsia="en-GB"/>
              </w:rPr>
              <w:t>2016-17</w:t>
            </w:r>
          </w:p>
        </w:tc>
        <w:tc>
          <w:tcPr>
            <w:tcW w:w="1080" w:type="dxa"/>
            <w:tcBorders>
              <w:top w:val="single" w:sz="4" w:space="0" w:color="auto"/>
              <w:left w:val="nil"/>
              <w:bottom w:val="single" w:sz="4" w:space="0" w:color="auto"/>
              <w:right w:val="single" w:sz="4" w:space="0" w:color="auto"/>
            </w:tcBorders>
            <w:shd w:val="clear" w:color="CCCCFF" w:fill="C0C0C0"/>
            <w:vAlign w:val="bottom"/>
          </w:tcPr>
          <w:p w:rsidR="0022223F" w:rsidRPr="00A71BC9" w:rsidRDefault="0022223F" w:rsidP="00A71BC9">
            <w:pPr>
              <w:jc w:val="right"/>
              <w:rPr>
                <w:b/>
                <w:bCs/>
                <w:sz w:val="18"/>
                <w:szCs w:val="18"/>
                <w:lang w:eastAsia="en-GB"/>
              </w:rPr>
            </w:pPr>
            <w:r w:rsidRPr="00A71BC9">
              <w:rPr>
                <w:b/>
                <w:bCs/>
                <w:sz w:val="18"/>
                <w:szCs w:val="18"/>
                <w:lang w:eastAsia="en-GB"/>
              </w:rPr>
              <w:t>2014-15</w:t>
            </w:r>
          </w:p>
        </w:tc>
        <w:tc>
          <w:tcPr>
            <w:tcW w:w="4640" w:type="dxa"/>
            <w:tcBorders>
              <w:top w:val="single" w:sz="4" w:space="0" w:color="auto"/>
              <w:left w:val="nil"/>
              <w:bottom w:val="single" w:sz="4" w:space="0" w:color="auto"/>
              <w:right w:val="single" w:sz="4" w:space="0" w:color="auto"/>
            </w:tcBorders>
            <w:shd w:val="clear" w:color="CCCCFF" w:fill="C0C0C0"/>
            <w:vAlign w:val="bottom"/>
          </w:tcPr>
          <w:p w:rsidR="0022223F" w:rsidRPr="00A71BC9" w:rsidRDefault="0022223F" w:rsidP="00A71BC9">
            <w:pPr>
              <w:jc w:val="center"/>
              <w:rPr>
                <w:b/>
                <w:bCs/>
                <w:sz w:val="18"/>
                <w:szCs w:val="18"/>
                <w:lang w:eastAsia="en-GB"/>
              </w:rPr>
            </w:pPr>
            <w:r w:rsidRPr="00A71BC9">
              <w:rPr>
                <w:b/>
                <w:bCs/>
                <w:sz w:val="18"/>
                <w:szCs w:val="18"/>
                <w:lang w:eastAsia="en-GB"/>
              </w:rPr>
              <w:t> </w:t>
            </w:r>
          </w:p>
        </w:tc>
      </w:tr>
      <w:tr w:rsidR="0022223F" w:rsidRPr="00A71BC9">
        <w:trPr>
          <w:trHeight w:val="285"/>
          <w:tblHeader/>
        </w:trPr>
        <w:tc>
          <w:tcPr>
            <w:tcW w:w="1241" w:type="dxa"/>
            <w:tcBorders>
              <w:top w:val="nil"/>
              <w:left w:val="single" w:sz="4" w:space="0" w:color="auto"/>
              <w:bottom w:val="single" w:sz="4" w:space="0" w:color="auto"/>
              <w:right w:val="single" w:sz="4" w:space="0" w:color="auto"/>
            </w:tcBorders>
            <w:shd w:val="clear" w:color="CCCCFF" w:fill="C0C0C0"/>
            <w:noWrap/>
          </w:tcPr>
          <w:p w:rsidR="0022223F" w:rsidRPr="00A71BC9" w:rsidRDefault="0022223F" w:rsidP="00A71BC9">
            <w:pPr>
              <w:rPr>
                <w:color w:val="000000"/>
                <w:sz w:val="18"/>
                <w:szCs w:val="18"/>
                <w:lang w:eastAsia="en-GB"/>
              </w:rPr>
            </w:pPr>
            <w:r w:rsidRPr="00A71BC9">
              <w:rPr>
                <w:color w:val="000000"/>
                <w:sz w:val="18"/>
                <w:szCs w:val="18"/>
                <w:lang w:eastAsia="en-GB"/>
              </w:rPr>
              <w:t> </w:t>
            </w:r>
          </w:p>
        </w:tc>
        <w:tc>
          <w:tcPr>
            <w:tcW w:w="3859" w:type="dxa"/>
            <w:tcBorders>
              <w:top w:val="nil"/>
              <w:left w:val="nil"/>
              <w:bottom w:val="single" w:sz="4" w:space="0" w:color="auto"/>
              <w:right w:val="single" w:sz="4" w:space="0" w:color="auto"/>
            </w:tcBorders>
            <w:shd w:val="clear" w:color="CCCCFF" w:fill="C0C0C0"/>
            <w:vAlign w:val="bottom"/>
          </w:tcPr>
          <w:p w:rsidR="0022223F" w:rsidRPr="00A71BC9" w:rsidRDefault="0022223F" w:rsidP="00A71BC9">
            <w:pPr>
              <w:jc w:val="center"/>
              <w:rPr>
                <w:sz w:val="18"/>
                <w:szCs w:val="18"/>
                <w:lang w:eastAsia="en-GB"/>
              </w:rPr>
            </w:pPr>
            <w:r w:rsidRPr="00A71BC9">
              <w:rPr>
                <w:sz w:val="18"/>
                <w:szCs w:val="18"/>
                <w:lang w:eastAsia="en-GB"/>
              </w:rPr>
              <w:t> </w:t>
            </w:r>
          </w:p>
        </w:tc>
        <w:tc>
          <w:tcPr>
            <w:tcW w:w="1080" w:type="dxa"/>
            <w:tcBorders>
              <w:top w:val="nil"/>
              <w:left w:val="nil"/>
              <w:bottom w:val="single" w:sz="4" w:space="0" w:color="auto"/>
              <w:right w:val="single" w:sz="4" w:space="0" w:color="auto"/>
            </w:tcBorders>
            <w:shd w:val="clear" w:color="CCCCFF" w:fill="C0C0C0"/>
            <w:vAlign w:val="bottom"/>
          </w:tcPr>
          <w:p w:rsidR="0022223F" w:rsidRPr="00A71BC9" w:rsidRDefault="0022223F" w:rsidP="00A71BC9">
            <w:pPr>
              <w:jc w:val="right"/>
              <w:rPr>
                <w:b/>
                <w:bCs/>
                <w:sz w:val="18"/>
                <w:szCs w:val="18"/>
                <w:lang w:eastAsia="en-GB"/>
              </w:rPr>
            </w:pPr>
            <w:r w:rsidRPr="00A71BC9">
              <w:rPr>
                <w:b/>
                <w:bCs/>
                <w:sz w:val="18"/>
                <w:szCs w:val="18"/>
                <w:lang w:eastAsia="en-GB"/>
              </w:rPr>
              <w:t>£000</w:t>
            </w:r>
          </w:p>
        </w:tc>
        <w:tc>
          <w:tcPr>
            <w:tcW w:w="1080" w:type="dxa"/>
            <w:tcBorders>
              <w:top w:val="nil"/>
              <w:left w:val="nil"/>
              <w:bottom w:val="single" w:sz="4" w:space="0" w:color="auto"/>
              <w:right w:val="single" w:sz="4" w:space="0" w:color="auto"/>
            </w:tcBorders>
            <w:shd w:val="clear" w:color="CCCCFF" w:fill="C0C0C0"/>
            <w:vAlign w:val="bottom"/>
          </w:tcPr>
          <w:p w:rsidR="0022223F" w:rsidRPr="00A71BC9" w:rsidRDefault="0022223F" w:rsidP="00A71BC9">
            <w:pPr>
              <w:jc w:val="center"/>
              <w:rPr>
                <w:b/>
                <w:bCs/>
                <w:sz w:val="18"/>
                <w:szCs w:val="18"/>
                <w:lang w:eastAsia="en-GB"/>
              </w:rPr>
            </w:pPr>
            <w:r w:rsidRPr="00A71BC9">
              <w:rPr>
                <w:b/>
                <w:bCs/>
                <w:sz w:val="18"/>
                <w:szCs w:val="18"/>
                <w:lang w:eastAsia="en-GB"/>
              </w:rPr>
              <w:t>£000</w:t>
            </w:r>
          </w:p>
        </w:tc>
        <w:tc>
          <w:tcPr>
            <w:tcW w:w="1080" w:type="dxa"/>
            <w:tcBorders>
              <w:top w:val="nil"/>
              <w:left w:val="nil"/>
              <w:bottom w:val="single" w:sz="4" w:space="0" w:color="auto"/>
              <w:right w:val="single" w:sz="4" w:space="0" w:color="auto"/>
            </w:tcBorders>
            <w:shd w:val="clear" w:color="CCCCFF" w:fill="C0C0C0"/>
            <w:vAlign w:val="bottom"/>
          </w:tcPr>
          <w:p w:rsidR="0022223F" w:rsidRPr="00A71BC9" w:rsidRDefault="0022223F" w:rsidP="00A71BC9">
            <w:pPr>
              <w:jc w:val="center"/>
              <w:rPr>
                <w:b/>
                <w:bCs/>
                <w:sz w:val="18"/>
                <w:szCs w:val="18"/>
                <w:lang w:eastAsia="en-GB"/>
              </w:rPr>
            </w:pPr>
            <w:r w:rsidRPr="00A71BC9">
              <w:rPr>
                <w:b/>
                <w:bCs/>
                <w:sz w:val="18"/>
                <w:szCs w:val="18"/>
                <w:lang w:eastAsia="en-GB"/>
              </w:rPr>
              <w:t>£000</w:t>
            </w:r>
          </w:p>
        </w:tc>
        <w:tc>
          <w:tcPr>
            <w:tcW w:w="1080" w:type="dxa"/>
            <w:tcBorders>
              <w:top w:val="nil"/>
              <w:left w:val="nil"/>
              <w:bottom w:val="single" w:sz="4" w:space="0" w:color="auto"/>
              <w:right w:val="single" w:sz="4" w:space="0" w:color="auto"/>
            </w:tcBorders>
            <w:shd w:val="clear" w:color="CCCCFF" w:fill="C0C0C0"/>
            <w:vAlign w:val="bottom"/>
          </w:tcPr>
          <w:p w:rsidR="0022223F" w:rsidRPr="00A71BC9" w:rsidRDefault="0022223F" w:rsidP="00A71BC9">
            <w:pPr>
              <w:jc w:val="center"/>
              <w:rPr>
                <w:b/>
                <w:bCs/>
                <w:sz w:val="18"/>
                <w:szCs w:val="18"/>
                <w:lang w:eastAsia="en-GB"/>
              </w:rPr>
            </w:pPr>
            <w:r w:rsidRPr="00A71BC9">
              <w:rPr>
                <w:b/>
                <w:bCs/>
                <w:sz w:val="18"/>
                <w:szCs w:val="18"/>
                <w:lang w:eastAsia="en-GB"/>
              </w:rPr>
              <w:t>RAG Status</w:t>
            </w:r>
          </w:p>
        </w:tc>
        <w:tc>
          <w:tcPr>
            <w:tcW w:w="4640" w:type="dxa"/>
            <w:tcBorders>
              <w:top w:val="nil"/>
              <w:left w:val="nil"/>
              <w:bottom w:val="single" w:sz="4" w:space="0" w:color="auto"/>
              <w:right w:val="single" w:sz="4" w:space="0" w:color="auto"/>
            </w:tcBorders>
            <w:shd w:val="clear" w:color="CCCCFF" w:fill="C0C0C0"/>
            <w:vAlign w:val="bottom"/>
          </w:tcPr>
          <w:p w:rsidR="0022223F" w:rsidRPr="00A71BC9" w:rsidRDefault="0022223F" w:rsidP="00A71BC9">
            <w:pPr>
              <w:jc w:val="center"/>
              <w:rPr>
                <w:b/>
                <w:bCs/>
                <w:sz w:val="18"/>
                <w:szCs w:val="18"/>
                <w:lang w:eastAsia="en-GB"/>
              </w:rPr>
            </w:pPr>
            <w:r w:rsidRPr="00A71BC9">
              <w:rPr>
                <w:b/>
                <w:bCs/>
                <w:sz w:val="18"/>
                <w:szCs w:val="18"/>
                <w:lang w:eastAsia="en-GB"/>
              </w:rPr>
              <w:t>Comments</w:t>
            </w:r>
          </w:p>
        </w:tc>
      </w:tr>
      <w:tr w:rsidR="0022223F" w:rsidRPr="00A71BC9">
        <w:trPr>
          <w:trHeight w:val="285"/>
        </w:trPr>
        <w:tc>
          <w:tcPr>
            <w:tcW w:w="1241" w:type="dxa"/>
            <w:tcBorders>
              <w:top w:val="nil"/>
              <w:left w:val="single" w:sz="4" w:space="0" w:color="auto"/>
              <w:bottom w:val="single" w:sz="4" w:space="0" w:color="auto"/>
              <w:right w:val="single" w:sz="4" w:space="0" w:color="auto"/>
            </w:tcBorders>
            <w:noWrap/>
            <w:vAlign w:val="bottom"/>
          </w:tcPr>
          <w:p w:rsidR="0022223F" w:rsidRPr="00A71BC9" w:rsidRDefault="0022223F" w:rsidP="00A71BC9">
            <w:pPr>
              <w:rPr>
                <w:sz w:val="18"/>
                <w:szCs w:val="18"/>
                <w:lang w:eastAsia="en-GB"/>
              </w:rPr>
            </w:pPr>
            <w:r w:rsidRPr="00A71BC9">
              <w:rPr>
                <w:sz w:val="18"/>
                <w:szCs w:val="18"/>
                <w:lang w:eastAsia="en-GB"/>
              </w:rPr>
              <w:t> </w:t>
            </w:r>
          </w:p>
        </w:tc>
        <w:tc>
          <w:tcPr>
            <w:tcW w:w="3859" w:type="dxa"/>
            <w:tcBorders>
              <w:top w:val="nil"/>
              <w:left w:val="nil"/>
              <w:bottom w:val="single" w:sz="4" w:space="0" w:color="auto"/>
              <w:right w:val="single" w:sz="4" w:space="0" w:color="auto"/>
            </w:tcBorders>
            <w:vAlign w:val="bottom"/>
          </w:tcPr>
          <w:p w:rsidR="0022223F" w:rsidRPr="00A71BC9" w:rsidRDefault="0022223F" w:rsidP="00A71BC9">
            <w:pPr>
              <w:rPr>
                <w:b/>
                <w:bCs/>
                <w:sz w:val="18"/>
                <w:szCs w:val="18"/>
                <w:lang w:eastAsia="en-GB"/>
              </w:rPr>
            </w:pPr>
            <w:r w:rsidRPr="00A71BC9">
              <w:rPr>
                <w:b/>
                <w:bCs/>
                <w:sz w:val="18"/>
                <w:szCs w:val="18"/>
                <w:lang w:eastAsia="en-GB"/>
              </w:rPr>
              <w:t>CHILDREN &amp; FAMILIES</w:t>
            </w:r>
          </w:p>
        </w:tc>
        <w:tc>
          <w:tcPr>
            <w:tcW w:w="1080" w:type="dxa"/>
            <w:tcBorders>
              <w:top w:val="nil"/>
              <w:left w:val="nil"/>
              <w:bottom w:val="single" w:sz="4" w:space="0" w:color="auto"/>
              <w:right w:val="single" w:sz="4" w:space="0" w:color="auto"/>
            </w:tcBorders>
            <w:noWrap/>
            <w:vAlign w:val="bottom"/>
          </w:tcPr>
          <w:p w:rsidR="0022223F" w:rsidRPr="00A71BC9" w:rsidRDefault="0022223F" w:rsidP="00A71BC9">
            <w:pPr>
              <w:jc w:val="center"/>
              <w:rPr>
                <w:b/>
                <w:bCs/>
                <w:sz w:val="18"/>
                <w:szCs w:val="18"/>
                <w:lang w:eastAsia="en-GB"/>
              </w:rPr>
            </w:pPr>
            <w:r w:rsidRPr="00A71BC9">
              <w:rPr>
                <w:b/>
                <w:bCs/>
                <w:sz w:val="18"/>
                <w:szCs w:val="18"/>
                <w:lang w:eastAsia="en-GB"/>
              </w:rPr>
              <w:t> </w:t>
            </w:r>
          </w:p>
        </w:tc>
        <w:tc>
          <w:tcPr>
            <w:tcW w:w="1080" w:type="dxa"/>
            <w:tcBorders>
              <w:top w:val="nil"/>
              <w:left w:val="nil"/>
              <w:bottom w:val="single" w:sz="4" w:space="0" w:color="auto"/>
              <w:right w:val="single" w:sz="4" w:space="0" w:color="auto"/>
            </w:tcBorders>
            <w:noWrap/>
            <w:vAlign w:val="bottom"/>
          </w:tcPr>
          <w:p w:rsidR="0022223F" w:rsidRPr="00A71BC9" w:rsidRDefault="0022223F" w:rsidP="00A71BC9">
            <w:pPr>
              <w:jc w:val="center"/>
              <w:rPr>
                <w:color w:val="000000"/>
                <w:sz w:val="18"/>
                <w:szCs w:val="18"/>
                <w:lang w:eastAsia="en-GB"/>
              </w:rPr>
            </w:pPr>
            <w:r w:rsidRPr="00A71BC9">
              <w:rPr>
                <w:color w:val="000000"/>
                <w:sz w:val="18"/>
                <w:szCs w:val="18"/>
                <w:lang w:eastAsia="en-GB"/>
              </w:rPr>
              <w:t> </w:t>
            </w:r>
          </w:p>
        </w:tc>
        <w:tc>
          <w:tcPr>
            <w:tcW w:w="1080" w:type="dxa"/>
            <w:tcBorders>
              <w:top w:val="nil"/>
              <w:left w:val="nil"/>
              <w:bottom w:val="single" w:sz="4" w:space="0" w:color="auto"/>
              <w:right w:val="single" w:sz="4" w:space="0" w:color="auto"/>
            </w:tcBorders>
            <w:noWrap/>
            <w:vAlign w:val="bottom"/>
          </w:tcPr>
          <w:p w:rsidR="0022223F" w:rsidRPr="00A71BC9" w:rsidRDefault="0022223F" w:rsidP="00A71BC9">
            <w:pPr>
              <w:jc w:val="center"/>
              <w:rPr>
                <w:color w:val="000000"/>
                <w:sz w:val="18"/>
                <w:szCs w:val="18"/>
                <w:lang w:eastAsia="en-GB"/>
              </w:rPr>
            </w:pPr>
            <w:r w:rsidRPr="00A71BC9">
              <w:rPr>
                <w:color w:val="000000"/>
                <w:sz w:val="18"/>
                <w:szCs w:val="18"/>
                <w:lang w:eastAsia="en-GB"/>
              </w:rPr>
              <w:t> </w:t>
            </w:r>
          </w:p>
        </w:tc>
        <w:tc>
          <w:tcPr>
            <w:tcW w:w="1080" w:type="dxa"/>
            <w:tcBorders>
              <w:top w:val="nil"/>
              <w:left w:val="nil"/>
              <w:bottom w:val="single" w:sz="4" w:space="0" w:color="auto"/>
              <w:right w:val="single" w:sz="4" w:space="0" w:color="auto"/>
            </w:tcBorders>
            <w:noWrap/>
            <w:vAlign w:val="bottom"/>
          </w:tcPr>
          <w:p w:rsidR="0022223F" w:rsidRPr="00A71BC9" w:rsidRDefault="0022223F" w:rsidP="00A71BC9">
            <w:pPr>
              <w:rPr>
                <w:sz w:val="18"/>
                <w:szCs w:val="18"/>
                <w:lang w:eastAsia="en-GB"/>
              </w:rPr>
            </w:pPr>
            <w:r w:rsidRPr="00A71BC9">
              <w:rPr>
                <w:sz w:val="18"/>
                <w:szCs w:val="18"/>
                <w:lang w:eastAsia="en-GB"/>
              </w:rPr>
              <w:t> </w:t>
            </w:r>
          </w:p>
        </w:tc>
        <w:tc>
          <w:tcPr>
            <w:tcW w:w="4640" w:type="dxa"/>
            <w:tcBorders>
              <w:top w:val="nil"/>
              <w:left w:val="nil"/>
              <w:bottom w:val="single" w:sz="4" w:space="0" w:color="auto"/>
              <w:right w:val="single" w:sz="4" w:space="0" w:color="auto"/>
            </w:tcBorders>
            <w:noWrap/>
            <w:vAlign w:val="bottom"/>
          </w:tcPr>
          <w:p w:rsidR="0022223F" w:rsidRPr="00A71BC9" w:rsidRDefault="0022223F" w:rsidP="00A71BC9">
            <w:pPr>
              <w:rPr>
                <w:sz w:val="18"/>
                <w:szCs w:val="18"/>
                <w:lang w:eastAsia="en-GB"/>
              </w:rPr>
            </w:pPr>
            <w:r w:rsidRPr="00A71BC9">
              <w:rPr>
                <w:sz w:val="18"/>
                <w:szCs w:val="18"/>
                <w:lang w:eastAsia="en-GB"/>
              </w:rPr>
              <w:t> </w:t>
            </w:r>
          </w:p>
        </w:tc>
      </w:tr>
      <w:tr w:rsidR="0022223F" w:rsidRPr="00A71BC9">
        <w:trPr>
          <w:trHeight w:val="1440"/>
        </w:trPr>
        <w:tc>
          <w:tcPr>
            <w:tcW w:w="1241" w:type="dxa"/>
            <w:tcBorders>
              <w:top w:val="nil"/>
              <w:left w:val="single" w:sz="4" w:space="0" w:color="auto"/>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CF 017</w:t>
            </w:r>
          </w:p>
        </w:tc>
        <w:tc>
          <w:tcPr>
            <w:tcW w:w="3859"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Consolidation of staffing structure including proposed deletion of 1 Divisional Director post 2015/16</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-148</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22223F" w:rsidRPr="00A71BC9" w:rsidRDefault="0022223F" w:rsidP="00A71BC9">
            <w:pPr>
              <w:rPr>
                <w:sz w:val="18"/>
                <w:szCs w:val="18"/>
                <w:lang w:eastAsia="en-GB"/>
              </w:rPr>
            </w:pPr>
            <w:r w:rsidRPr="00A71BC9">
              <w:rPr>
                <w:sz w:val="18"/>
                <w:szCs w:val="18"/>
                <w:lang w:eastAsia="en-GB"/>
              </w:rPr>
              <w:t>Green</w:t>
            </w:r>
          </w:p>
        </w:tc>
        <w:tc>
          <w:tcPr>
            <w:tcW w:w="4640"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£23k relates to full year effect of a Commissioner post which was deleted in 2013/14. £125k relates to deletion of a Divisional Director post, of which £25k achieved by removal of 0.2 FTE overlap from former job share arrangement, £100k achieved by maximising use of grant</w:t>
            </w:r>
          </w:p>
        </w:tc>
      </w:tr>
      <w:tr w:rsidR="0022223F" w:rsidRPr="00A71BC9">
        <w:trPr>
          <w:trHeight w:val="480"/>
        </w:trPr>
        <w:tc>
          <w:tcPr>
            <w:tcW w:w="1241" w:type="dxa"/>
            <w:tcBorders>
              <w:top w:val="nil"/>
              <w:left w:val="single" w:sz="4" w:space="0" w:color="auto"/>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CF 018</w:t>
            </w:r>
          </w:p>
        </w:tc>
        <w:tc>
          <w:tcPr>
            <w:tcW w:w="3859"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 xml:space="preserve">Deletion of Head of Education Strategy &amp; School Organisation </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-50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22223F" w:rsidRPr="00A71BC9" w:rsidRDefault="0022223F" w:rsidP="00A71BC9">
            <w:pPr>
              <w:rPr>
                <w:sz w:val="18"/>
                <w:szCs w:val="18"/>
                <w:lang w:eastAsia="en-GB"/>
              </w:rPr>
            </w:pPr>
            <w:r w:rsidRPr="00A71BC9">
              <w:rPr>
                <w:sz w:val="18"/>
                <w:szCs w:val="18"/>
                <w:lang w:eastAsia="en-GB"/>
              </w:rPr>
              <w:t>Green</w:t>
            </w:r>
          </w:p>
        </w:tc>
        <w:tc>
          <w:tcPr>
            <w:tcW w:w="4640" w:type="dxa"/>
            <w:tcBorders>
              <w:top w:val="nil"/>
              <w:left w:val="nil"/>
              <w:bottom w:val="single" w:sz="4" w:space="0" w:color="auto"/>
              <w:right w:val="single" w:sz="4" w:space="0" w:color="auto"/>
            </w:tcBorders>
            <w:noWrap/>
            <w:vAlign w:val="center"/>
          </w:tcPr>
          <w:p w:rsidR="0022223F" w:rsidRPr="00A71BC9" w:rsidRDefault="0022223F" w:rsidP="00A71BC9">
            <w:pPr>
              <w:rPr>
                <w:sz w:val="18"/>
                <w:szCs w:val="18"/>
                <w:lang w:eastAsia="en-GB"/>
              </w:rPr>
            </w:pPr>
            <w:r w:rsidRPr="00A71BC9">
              <w:rPr>
                <w:sz w:val="18"/>
                <w:szCs w:val="18"/>
                <w:lang w:eastAsia="en-GB"/>
              </w:rPr>
              <w:t>Post deleted</w:t>
            </w:r>
          </w:p>
        </w:tc>
      </w:tr>
      <w:tr w:rsidR="0022223F" w:rsidRPr="00A71BC9">
        <w:trPr>
          <w:trHeight w:val="1440"/>
        </w:trPr>
        <w:tc>
          <w:tcPr>
            <w:tcW w:w="1241" w:type="dxa"/>
            <w:tcBorders>
              <w:top w:val="nil"/>
              <w:left w:val="single" w:sz="4" w:space="0" w:color="auto"/>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CF 019</w:t>
            </w:r>
          </w:p>
        </w:tc>
        <w:tc>
          <w:tcPr>
            <w:tcW w:w="3859"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Reconfiguration of Early Intervention Service to support the Families First Programme</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-150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single" w:sz="4" w:space="0" w:color="auto"/>
              <w:left w:val="single" w:sz="4" w:space="0" w:color="auto"/>
              <w:bottom w:val="single" w:sz="4" w:space="0" w:color="auto"/>
              <w:right w:val="single" w:sz="4" w:space="0" w:color="auto"/>
            </w:tcBorders>
            <w:shd w:val="clear" w:color="000000" w:fill="FFCC99"/>
            <w:noWrap/>
            <w:vAlign w:val="center"/>
          </w:tcPr>
          <w:p w:rsidR="0022223F" w:rsidRPr="00A71BC9" w:rsidRDefault="0022223F" w:rsidP="00A71BC9">
            <w:pPr>
              <w:rPr>
                <w:sz w:val="18"/>
                <w:szCs w:val="18"/>
                <w:lang w:eastAsia="en-GB"/>
              </w:rPr>
            </w:pPr>
            <w:r w:rsidRPr="00A71BC9">
              <w:rPr>
                <w:sz w:val="18"/>
                <w:szCs w:val="18"/>
                <w:lang w:eastAsia="en-GB"/>
              </w:rPr>
              <w:t>Amber</w:t>
            </w:r>
          </w:p>
        </w:tc>
        <w:tc>
          <w:tcPr>
            <w:tcW w:w="4640"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The cumulative MTFS saving is £300k. This is currently being achieved by using Troubled Families funding to support this saving for which a carry forward of £672k has been agreed by Cabinet. The continuation of Troubled Families Grant is uncertain beyond 2014/15.</w:t>
            </w:r>
          </w:p>
        </w:tc>
      </w:tr>
      <w:tr w:rsidR="0022223F" w:rsidRPr="00A71BC9">
        <w:trPr>
          <w:trHeight w:val="480"/>
        </w:trPr>
        <w:tc>
          <w:tcPr>
            <w:tcW w:w="1241" w:type="dxa"/>
            <w:tcBorders>
              <w:top w:val="nil"/>
              <w:left w:val="single" w:sz="4" w:space="0" w:color="auto"/>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CF 020</w:t>
            </w:r>
          </w:p>
        </w:tc>
        <w:tc>
          <w:tcPr>
            <w:tcW w:w="3859"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Children's Centres remodelling to reconfigure the local offer</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-200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22223F" w:rsidRPr="00A71BC9" w:rsidRDefault="0022223F" w:rsidP="00A71BC9">
            <w:pPr>
              <w:rPr>
                <w:sz w:val="18"/>
                <w:szCs w:val="18"/>
                <w:lang w:eastAsia="en-GB"/>
              </w:rPr>
            </w:pPr>
            <w:r w:rsidRPr="00A71BC9">
              <w:rPr>
                <w:sz w:val="18"/>
                <w:szCs w:val="18"/>
                <w:lang w:eastAsia="en-GB"/>
              </w:rPr>
              <w:t>Green</w:t>
            </w:r>
          </w:p>
        </w:tc>
        <w:tc>
          <w:tcPr>
            <w:tcW w:w="4640"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Budgets and staffing reconfigured, saving is expected to be delivered.</w:t>
            </w:r>
          </w:p>
        </w:tc>
      </w:tr>
      <w:tr w:rsidR="0022223F" w:rsidRPr="00A71BC9">
        <w:trPr>
          <w:trHeight w:val="720"/>
        </w:trPr>
        <w:tc>
          <w:tcPr>
            <w:tcW w:w="1241" w:type="dxa"/>
            <w:tcBorders>
              <w:top w:val="nil"/>
              <w:left w:val="single" w:sz="4" w:space="0" w:color="auto"/>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CF 021</w:t>
            </w:r>
          </w:p>
        </w:tc>
        <w:tc>
          <w:tcPr>
            <w:tcW w:w="3859"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Special Needs Transport II - demand management including Independent Travel Training</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-45</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22223F" w:rsidRPr="00A71BC9" w:rsidRDefault="0022223F" w:rsidP="00A71BC9">
            <w:pPr>
              <w:rPr>
                <w:sz w:val="18"/>
                <w:szCs w:val="18"/>
                <w:lang w:eastAsia="en-GB"/>
              </w:rPr>
            </w:pPr>
            <w:r w:rsidRPr="00A71BC9">
              <w:rPr>
                <w:sz w:val="18"/>
                <w:szCs w:val="18"/>
                <w:lang w:eastAsia="en-GB"/>
              </w:rPr>
              <w:t>Green</w:t>
            </w:r>
          </w:p>
        </w:tc>
        <w:tc>
          <w:tcPr>
            <w:tcW w:w="4640" w:type="dxa"/>
            <w:tcBorders>
              <w:top w:val="nil"/>
              <w:left w:val="nil"/>
              <w:bottom w:val="single" w:sz="4" w:space="0" w:color="auto"/>
              <w:right w:val="single" w:sz="4" w:space="0" w:color="auto"/>
            </w:tcBorders>
            <w:noWrap/>
            <w:vAlign w:val="center"/>
          </w:tcPr>
          <w:p w:rsidR="0022223F" w:rsidRPr="00A71BC9" w:rsidRDefault="0022223F" w:rsidP="00A71BC9">
            <w:pPr>
              <w:rPr>
                <w:sz w:val="18"/>
                <w:szCs w:val="18"/>
                <w:lang w:eastAsia="en-GB"/>
              </w:rPr>
            </w:pPr>
            <w:r w:rsidRPr="00A71BC9">
              <w:rPr>
                <w:sz w:val="18"/>
                <w:szCs w:val="18"/>
                <w:lang w:eastAsia="en-GB"/>
              </w:rPr>
              <w:t xml:space="preserve">Saving delivered </w:t>
            </w:r>
          </w:p>
        </w:tc>
      </w:tr>
      <w:tr w:rsidR="0022223F" w:rsidRPr="00A71BC9">
        <w:trPr>
          <w:trHeight w:val="1200"/>
        </w:trPr>
        <w:tc>
          <w:tcPr>
            <w:tcW w:w="1241" w:type="dxa"/>
            <w:tcBorders>
              <w:top w:val="nil"/>
              <w:left w:val="single" w:sz="4" w:space="0" w:color="auto"/>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CF 022</w:t>
            </w:r>
          </w:p>
        </w:tc>
        <w:tc>
          <w:tcPr>
            <w:tcW w:w="3859"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Special Needs Transport III - full market engagement including outsourcing of some routes</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-500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single" w:sz="4" w:space="0" w:color="auto"/>
              <w:left w:val="single" w:sz="4" w:space="0" w:color="auto"/>
              <w:bottom w:val="single" w:sz="4" w:space="0" w:color="auto"/>
              <w:right w:val="single" w:sz="4" w:space="0" w:color="auto"/>
            </w:tcBorders>
            <w:shd w:val="clear" w:color="000000" w:fill="FFCC99"/>
            <w:noWrap/>
            <w:vAlign w:val="center"/>
          </w:tcPr>
          <w:p w:rsidR="0022223F" w:rsidRPr="00A71BC9" w:rsidRDefault="0022223F" w:rsidP="00A71BC9">
            <w:pPr>
              <w:rPr>
                <w:sz w:val="18"/>
                <w:szCs w:val="18"/>
                <w:lang w:eastAsia="en-GB"/>
              </w:rPr>
            </w:pPr>
            <w:r w:rsidRPr="00A71BC9">
              <w:rPr>
                <w:sz w:val="18"/>
                <w:szCs w:val="18"/>
                <w:lang w:eastAsia="en-GB"/>
              </w:rPr>
              <w:t>Amber</w:t>
            </w:r>
          </w:p>
        </w:tc>
        <w:tc>
          <w:tcPr>
            <w:tcW w:w="4640"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Due to delay in Cabinet approval of the final business case, implementation has been delayed and there is a likely pressure of £267k in 2014/15 not being achieved. Full year saving expected to be delivered from 2015/16.</w:t>
            </w:r>
          </w:p>
        </w:tc>
      </w:tr>
      <w:tr w:rsidR="0022223F" w:rsidRPr="00A71BC9">
        <w:trPr>
          <w:trHeight w:val="480"/>
        </w:trPr>
        <w:tc>
          <w:tcPr>
            <w:tcW w:w="1241" w:type="dxa"/>
            <w:tcBorders>
              <w:top w:val="nil"/>
              <w:left w:val="single" w:sz="4" w:space="0" w:color="auto"/>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CF 023</w:t>
            </w:r>
          </w:p>
        </w:tc>
        <w:tc>
          <w:tcPr>
            <w:tcW w:w="3859"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Introduction of Charging for non Statutory Educational Psychology to schools</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-90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22223F" w:rsidRPr="00A71BC9" w:rsidRDefault="0022223F" w:rsidP="00A71BC9">
            <w:pPr>
              <w:rPr>
                <w:sz w:val="18"/>
                <w:szCs w:val="18"/>
                <w:lang w:eastAsia="en-GB"/>
              </w:rPr>
            </w:pPr>
            <w:r w:rsidRPr="00A71BC9">
              <w:rPr>
                <w:sz w:val="18"/>
                <w:szCs w:val="18"/>
                <w:lang w:eastAsia="en-GB"/>
              </w:rPr>
              <w:t>Green</w:t>
            </w:r>
          </w:p>
        </w:tc>
        <w:tc>
          <w:tcPr>
            <w:tcW w:w="4640"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Saving delivered - Schools and academies are buying back service.</w:t>
            </w:r>
          </w:p>
        </w:tc>
      </w:tr>
      <w:tr w:rsidR="0022223F" w:rsidRPr="00A71BC9">
        <w:trPr>
          <w:trHeight w:val="480"/>
        </w:trPr>
        <w:tc>
          <w:tcPr>
            <w:tcW w:w="1241" w:type="dxa"/>
            <w:tcBorders>
              <w:top w:val="nil"/>
              <w:left w:val="single" w:sz="4" w:space="0" w:color="auto"/>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CF 024</w:t>
            </w:r>
          </w:p>
        </w:tc>
        <w:tc>
          <w:tcPr>
            <w:tcW w:w="3859"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Review of semi supported provision including potential closure of Honeypot Lane</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-410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22223F" w:rsidRPr="00A71BC9" w:rsidRDefault="0022223F" w:rsidP="00A71BC9">
            <w:pPr>
              <w:rPr>
                <w:sz w:val="18"/>
                <w:szCs w:val="18"/>
                <w:lang w:eastAsia="en-GB"/>
              </w:rPr>
            </w:pPr>
            <w:r w:rsidRPr="00A71BC9">
              <w:rPr>
                <w:sz w:val="18"/>
                <w:szCs w:val="18"/>
                <w:lang w:eastAsia="en-GB"/>
              </w:rPr>
              <w:t>Green</w:t>
            </w:r>
          </w:p>
        </w:tc>
        <w:tc>
          <w:tcPr>
            <w:tcW w:w="4640" w:type="dxa"/>
            <w:tcBorders>
              <w:top w:val="nil"/>
              <w:left w:val="nil"/>
              <w:bottom w:val="single" w:sz="4" w:space="0" w:color="auto"/>
              <w:right w:val="single" w:sz="4" w:space="0" w:color="auto"/>
            </w:tcBorders>
            <w:noWrap/>
            <w:vAlign w:val="center"/>
          </w:tcPr>
          <w:p w:rsidR="0022223F" w:rsidRPr="00A71BC9" w:rsidRDefault="0022223F" w:rsidP="00A71BC9">
            <w:pPr>
              <w:rPr>
                <w:sz w:val="18"/>
                <w:szCs w:val="18"/>
                <w:lang w:eastAsia="en-GB"/>
              </w:rPr>
            </w:pPr>
            <w:r w:rsidRPr="00A71BC9">
              <w:rPr>
                <w:sz w:val="18"/>
                <w:szCs w:val="18"/>
                <w:lang w:eastAsia="en-GB"/>
              </w:rPr>
              <w:t>Facility closed and staff made redundant.</w:t>
            </w:r>
          </w:p>
        </w:tc>
      </w:tr>
      <w:tr w:rsidR="0022223F" w:rsidRPr="00A71BC9">
        <w:trPr>
          <w:trHeight w:val="720"/>
        </w:trPr>
        <w:tc>
          <w:tcPr>
            <w:tcW w:w="1241" w:type="dxa"/>
            <w:tcBorders>
              <w:top w:val="nil"/>
              <w:left w:val="single" w:sz="4" w:space="0" w:color="auto"/>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CF 026</w:t>
            </w:r>
          </w:p>
        </w:tc>
        <w:tc>
          <w:tcPr>
            <w:tcW w:w="3859"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Savings from commissioning budgets including connexions, parenting support, drugs &amp; alcohol and clinic in a box</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-255</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22223F" w:rsidRPr="00A71BC9" w:rsidRDefault="0022223F" w:rsidP="00A71BC9">
            <w:pPr>
              <w:rPr>
                <w:sz w:val="18"/>
                <w:szCs w:val="18"/>
                <w:lang w:eastAsia="en-GB"/>
              </w:rPr>
            </w:pPr>
            <w:r w:rsidRPr="00A71BC9">
              <w:rPr>
                <w:sz w:val="18"/>
                <w:szCs w:val="18"/>
                <w:lang w:eastAsia="en-GB"/>
              </w:rPr>
              <w:t>Green</w:t>
            </w:r>
          </w:p>
        </w:tc>
        <w:tc>
          <w:tcPr>
            <w:tcW w:w="4640"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Career Advice and Guidance contract amended and Council contribution to Harrow School Improvement Partnership reduced.</w:t>
            </w:r>
          </w:p>
        </w:tc>
      </w:tr>
      <w:tr w:rsidR="0022223F" w:rsidRPr="00A71BC9">
        <w:trPr>
          <w:trHeight w:val="480"/>
        </w:trPr>
        <w:tc>
          <w:tcPr>
            <w:tcW w:w="1241" w:type="dxa"/>
            <w:tcBorders>
              <w:top w:val="nil"/>
              <w:left w:val="single" w:sz="4" w:space="0" w:color="auto"/>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CF 027</w:t>
            </w:r>
          </w:p>
        </w:tc>
        <w:tc>
          <w:tcPr>
            <w:tcW w:w="3859"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 xml:space="preserve">Recommissioning of Respite Care for CWD </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-100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22223F" w:rsidRPr="00A71BC9" w:rsidRDefault="0022223F" w:rsidP="00A71BC9">
            <w:pPr>
              <w:rPr>
                <w:sz w:val="18"/>
                <w:szCs w:val="18"/>
                <w:lang w:eastAsia="en-GB"/>
              </w:rPr>
            </w:pPr>
            <w:r w:rsidRPr="00A71BC9">
              <w:rPr>
                <w:sz w:val="18"/>
                <w:szCs w:val="18"/>
                <w:lang w:eastAsia="en-GB"/>
              </w:rPr>
              <w:t>Green</w:t>
            </w:r>
          </w:p>
        </w:tc>
        <w:tc>
          <w:tcPr>
            <w:tcW w:w="4640"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Short Breaks Contracts have been re tendered and saving expected to be delivered</w:t>
            </w:r>
          </w:p>
        </w:tc>
      </w:tr>
      <w:tr w:rsidR="0022223F" w:rsidRPr="00A71BC9">
        <w:trPr>
          <w:trHeight w:val="720"/>
        </w:trPr>
        <w:tc>
          <w:tcPr>
            <w:tcW w:w="1241" w:type="dxa"/>
            <w:tcBorders>
              <w:top w:val="nil"/>
              <w:left w:val="single" w:sz="4" w:space="0" w:color="auto"/>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CF 028</w:t>
            </w:r>
          </w:p>
        </w:tc>
        <w:tc>
          <w:tcPr>
            <w:tcW w:w="3859"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Consolidation of Early Years training functions - including reductions in contracts &amp; staffing</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-50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22223F" w:rsidRPr="00A71BC9" w:rsidRDefault="0022223F" w:rsidP="00A71BC9">
            <w:pPr>
              <w:rPr>
                <w:sz w:val="18"/>
                <w:szCs w:val="18"/>
                <w:lang w:eastAsia="en-GB"/>
              </w:rPr>
            </w:pPr>
            <w:r w:rsidRPr="00A71BC9">
              <w:rPr>
                <w:sz w:val="18"/>
                <w:szCs w:val="18"/>
                <w:lang w:eastAsia="en-GB"/>
              </w:rPr>
              <w:t>Green</w:t>
            </w:r>
          </w:p>
        </w:tc>
        <w:tc>
          <w:tcPr>
            <w:tcW w:w="4640"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Pre School support, Home visiting and relationship counselling contracts ceased.</w:t>
            </w:r>
          </w:p>
        </w:tc>
      </w:tr>
      <w:tr w:rsidR="0022223F" w:rsidRPr="00A71BC9">
        <w:trPr>
          <w:trHeight w:val="285"/>
        </w:trPr>
        <w:tc>
          <w:tcPr>
            <w:tcW w:w="1241" w:type="dxa"/>
            <w:tcBorders>
              <w:top w:val="nil"/>
              <w:left w:val="single" w:sz="4" w:space="0" w:color="auto"/>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 </w:t>
            </w:r>
          </w:p>
        </w:tc>
        <w:tc>
          <w:tcPr>
            <w:tcW w:w="3859" w:type="dxa"/>
            <w:tcBorders>
              <w:top w:val="nil"/>
              <w:left w:val="nil"/>
              <w:bottom w:val="single" w:sz="4" w:space="0" w:color="auto"/>
              <w:right w:val="single" w:sz="4" w:space="0" w:color="auto"/>
            </w:tcBorders>
            <w:shd w:val="clear" w:color="000000" w:fill="C0C0C0"/>
            <w:vAlign w:val="center"/>
          </w:tcPr>
          <w:p w:rsidR="0022223F" w:rsidRPr="00A71BC9" w:rsidRDefault="0022223F" w:rsidP="00A71BC9">
            <w:pPr>
              <w:rPr>
                <w:b/>
                <w:bCs/>
                <w:sz w:val="18"/>
                <w:szCs w:val="18"/>
                <w:lang w:eastAsia="en-GB"/>
              </w:rPr>
            </w:pPr>
            <w:r w:rsidRPr="00A71BC9">
              <w:rPr>
                <w:b/>
                <w:bCs/>
                <w:sz w:val="18"/>
                <w:szCs w:val="18"/>
                <w:lang w:eastAsia="en-GB"/>
              </w:rPr>
              <w:t>Total Children &amp; Families Savings</w:t>
            </w:r>
          </w:p>
        </w:tc>
        <w:tc>
          <w:tcPr>
            <w:tcW w:w="1080" w:type="dxa"/>
            <w:tcBorders>
              <w:top w:val="nil"/>
              <w:left w:val="nil"/>
              <w:bottom w:val="single" w:sz="4" w:space="0" w:color="auto"/>
              <w:right w:val="single" w:sz="4" w:space="0" w:color="auto"/>
            </w:tcBorders>
            <w:shd w:val="clear" w:color="000000" w:fill="C0C0C0"/>
            <w:vAlign w:val="center"/>
          </w:tcPr>
          <w:p w:rsidR="0022223F" w:rsidRPr="00A71BC9" w:rsidRDefault="0022223F" w:rsidP="00A71BC9">
            <w:pPr>
              <w:jc w:val="right"/>
              <w:rPr>
                <w:b/>
                <w:bCs/>
                <w:sz w:val="18"/>
                <w:szCs w:val="18"/>
                <w:lang w:eastAsia="en-GB"/>
              </w:rPr>
            </w:pPr>
            <w:r w:rsidRPr="00A71BC9">
              <w:rPr>
                <w:b/>
                <w:bCs/>
                <w:sz w:val="18"/>
                <w:szCs w:val="18"/>
                <w:lang w:eastAsia="en-GB"/>
              </w:rPr>
              <w:t>-1,998</w:t>
            </w:r>
          </w:p>
        </w:tc>
        <w:tc>
          <w:tcPr>
            <w:tcW w:w="1080" w:type="dxa"/>
            <w:tcBorders>
              <w:top w:val="nil"/>
              <w:left w:val="nil"/>
              <w:bottom w:val="single" w:sz="4" w:space="0" w:color="auto"/>
              <w:right w:val="single" w:sz="4" w:space="0" w:color="auto"/>
            </w:tcBorders>
            <w:shd w:val="clear" w:color="000000" w:fill="C0C0C0"/>
            <w:vAlign w:val="center"/>
          </w:tcPr>
          <w:p w:rsidR="0022223F" w:rsidRPr="00A71BC9" w:rsidRDefault="0022223F" w:rsidP="00A71BC9">
            <w:pPr>
              <w:jc w:val="right"/>
              <w:rPr>
                <w:b/>
                <w:bCs/>
                <w:sz w:val="18"/>
                <w:szCs w:val="18"/>
                <w:lang w:eastAsia="en-GB"/>
              </w:rPr>
            </w:pPr>
            <w:r w:rsidRPr="00A71BC9">
              <w:rPr>
                <w:b/>
                <w:bCs/>
                <w:sz w:val="18"/>
                <w:szCs w:val="18"/>
                <w:lang w:eastAsia="en-GB"/>
              </w:rPr>
              <w:t>0</w:t>
            </w:r>
          </w:p>
        </w:tc>
        <w:tc>
          <w:tcPr>
            <w:tcW w:w="1080" w:type="dxa"/>
            <w:tcBorders>
              <w:top w:val="nil"/>
              <w:left w:val="nil"/>
              <w:bottom w:val="single" w:sz="4" w:space="0" w:color="auto"/>
              <w:right w:val="single" w:sz="4" w:space="0" w:color="auto"/>
            </w:tcBorders>
            <w:shd w:val="clear" w:color="000000" w:fill="C0C0C0"/>
            <w:vAlign w:val="center"/>
          </w:tcPr>
          <w:p w:rsidR="0022223F" w:rsidRPr="00A71BC9" w:rsidRDefault="0022223F" w:rsidP="00A71BC9">
            <w:pPr>
              <w:jc w:val="right"/>
              <w:rPr>
                <w:b/>
                <w:bCs/>
                <w:sz w:val="18"/>
                <w:szCs w:val="18"/>
                <w:lang w:eastAsia="en-GB"/>
              </w:rPr>
            </w:pPr>
            <w:r w:rsidRPr="00A71BC9">
              <w:rPr>
                <w:b/>
                <w:bCs/>
                <w:sz w:val="18"/>
                <w:szCs w:val="18"/>
                <w:lang w:eastAsia="en-GB"/>
              </w:rPr>
              <w:t>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rPr>
                <w:b/>
                <w:bCs/>
                <w:sz w:val="18"/>
                <w:szCs w:val="18"/>
                <w:lang w:eastAsia="en-GB"/>
              </w:rPr>
            </w:pPr>
            <w:r w:rsidRPr="00A71BC9">
              <w:rPr>
                <w:b/>
                <w:bCs/>
                <w:sz w:val="18"/>
                <w:szCs w:val="18"/>
                <w:lang w:eastAsia="en-GB"/>
              </w:rPr>
              <w:t> </w:t>
            </w:r>
          </w:p>
        </w:tc>
        <w:tc>
          <w:tcPr>
            <w:tcW w:w="4640" w:type="dxa"/>
            <w:tcBorders>
              <w:top w:val="nil"/>
              <w:left w:val="nil"/>
              <w:bottom w:val="single" w:sz="4" w:space="0" w:color="auto"/>
              <w:right w:val="single" w:sz="4" w:space="0" w:color="auto"/>
            </w:tcBorders>
            <w:noWrap/>
            <w:vAlign w:val="center"/>
          </w:tcPr>
          <w:p w:rsidR="0022223F" w:rsidRPr="00A71BC9" w:rsidRDefault="0022223F" w:rsidP="00A71BC9">
            <w:pPr>
              <w:rPr>
                <w:b/>
                <w:bCs/>
                <w:sz w:val="18"/>
                <w:szCs w:val="18"/>
                <w:lang w:eastAsia="en-GB"/>
              </w:rPr>
            </w:pPr>
            <w:r w:rsidRPr="00A71BC9">
              <w:rPr>
                <w:b/>
                <w:bCs/>
                <w:sz w:val="18"/>
                <w:szCs w:val="18"/>
                <w:lang w:eastAsia="en-GB"/>
              </w:rPr>
              <w:t> </w:t>
            </w:r>
          </w:p>
        </w:tc>
      </w:tr>
      <w:tr w:rsidR="0022223F" w:rsidRPr="00A71BC9">
        <w:trPr>
          <w:trHeight w:val="285"/>
        </w:trPr>
        <w:tc>
          <w:tcPr>
            <w:tcW w:w="1241" w:type="dxa"/>
            <w:tcBorders>
              <w:top w:val="nil"/>
              <w:left w:val="single" w:sz="4" w:space="0" w:color="auto"/>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 </w:t>
            </w:r>
          </w:p>
        </w:tc>
        <w:tc>
          <w:tcPr>
            <w:tcW w:w="3859" w:type="dxa"/>
            <w:tcBorders>
              <w:top w:val="nil"/>
              <w:left w:val="nil"/>
              <w:bottom w:val="single" w:sz="4" w:space="0" w:color="auto"/>
              <w:right w:val="single" w:sz="4" w:space="0" w:color="auto"/>
            </w:tcBorders>
            <w:vAlign w:val="center"/>
          </w:tcPr>
          <w:p w:rsidR="0022223F" w:rsidRPr="00A71BC9" w:rsidRDefault="0022223F" w:rsidP="00A71BC9">
            <w:pPr>
              <w:rPr>
                <w:b/>
                <w:bCs/>
                <w:sz w:val="18"/>
                <w:szCs w:val="18"/>
                <w:lang w:eastAsia="en-GB"/>
              </w:rPr>
            </w:pPr>
            <w:r w:rsidRPr="00A71BC9">
              <w:rPr>
                <w:b/>
                <w:bCs/>
                <w:sz w:val="18"/>
                <w:szCs w:val="18"/>
                <w:lang w:eastAsia="en-GB"/>
              </w:rPr>
              <w:t> </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rPr>
                <w:sz w:val="18"/>
                <w:szCs w:val="18"/>
                <w:lang w:eastAsia="en-GB"/>
              </w:rPr>
            </w:pPr>
            <w:r w:rsidRPr="00A71BC9">
              <w:rPr>
                <w:sz w:val="18"/>
                <w:szCs w:val="18"/>
                <w:lang w:eastAsia="en-GB"/>
              </w:rPr>
              <w:t> </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rPr>
                <w:sz w:val="18"/>
                <w:szCs w:val="18"/>
                <w:lang w:eastAsia="en-GB"/>
              </w:rPr>
            </w:pPr>
            <w:r w:rsidRPr="00A71BC9">
              <w:rPr>
                <w:sz w:val="18"/>
                <w:szCs w:val="18"/>
                <w:lang w:eastAsia="en-GB"/>
              </w:rPr>
              <w:t> </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rPr>
                <w:sz w:val="18"/>
                <w:szCs w:val="18"/>
                <w:lang w:eastAsia="en-GB"/>
              </w:rPr>
            </w:pPr>
            <w:r w:rsidRPr="00A71BC9">
              <w:rPr>
                <w:sz w:val="18"/>
                <w:szCs w:val="18"/>
                <w:lang w:eastAsia="en-GB"/>
              </w:rPr>
              <w:t> </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rPr>
                <w:sz w:val="18"/>
                <w:szCs w:val="18"/>
                <w:lang w:eastAsia="en-GB"/>
              </w:rPr>
            </w:pPr>
            <w:r w:rsidRPr="00A71BC9">
              <w:rPr>
                <w:sz w:val="18"/>
                <w:szCs w:val="18"/>
                <w:lang w:eastAsia="en-GB"/>
              </w:rPr>
              <w:t> </w:t>
            </w:r>
          </w:p>
        </w:tc>
        <w:tc>
          <w:tcPr>
            <w:tcW w:w="4640" w:type="dxa"/>
            <w:tcBorders>
              <w:top w:val="nil"/>
              <w:left w:val="nil"/>
              <w:bottom w:val="single" w:sz="4" w:space="0" w:color="auto"/>
              <w:right w:val="single" w:sz="4" w:space="0" w:color="auto"/>
            </w:tcBorders>
            <w:noWrap/>
            <w:vAlign w:val="center"/>
          </w:tcPr>
          <w:p w:rsidR="0022223F" w:rsidRPr="00A71BC9" w:rsidRDefault="0022223F" w:rsidP="00A71BC9">
            <w:pPr>
              <w:rPr>
                <w:sz w:val="18"/>
                <w:szCs w:val="18"/>
                <w:lang w:eastAsia="en-GB"/>
              </w:rPr>
            </w:pPr>
            <w:r w:rsidRPr="00A71BC9">
              <w:rPr>
                <w:sz w:val="18"/>
                <w:szCs w:val="18"/>
                <w:lang w:eastAsia="en-GB"/>
              </w:rPr>
              <w:t> </w:t>
            </w:r>
          </w:p>
        </w:tc>
      </w:tr>
      <w:tr w:rsidR="0022223F" w:rsidRPr="00A71BC9">
        <w:trPr>
          <w:trHeight w:val="285"/>
        </w:trPr>
        <w:tc>
          <w:tcPr>
            <w:tcW w:w="1241" w:type="dxa"/>
            <w:tcBorders>
              <w:top w:val="nil"/>
              <w:left w:val="single" w:sz="4" w:space="0" w:color="auto"/>
              <w:bottom w:val="single" w:sz="4" w:space="0" w:color="auto"/>
              <w:right w:val="single" w:sz="4" w:space="0" w:color="auto"/>
            </w:tcBorders>
            <w:vAlign w:val="bottom"/>
          </w:tcPr>
          <w:p w:rsidR="0022223F" w:rsidRPr="00A71BC9" w:rsidRDefault="0022223F" w:rsidP="00A71BC9">
            <w:pPr>
              <w:rPr>
                <w:color w:val="000000"/>
                <w:sz w:val="18"/>
                <w:szCs w:val="18"/>
                <w:lang w:eastAsia="en-GB"/>
              </w:rPr>
            </w:pPr>
            <w:r w:rsidRPr="00A71BC9">
              <w:rPr>
                <w:color w:val="000000"/>
                <w:sz w:val="18"/>
                <w:szCs w:val="18"/>
                <w:lang w:eastAsia="en-GB"/>
              </w:rPr>
              <w:t> </w:t>
            </w:r>
          </w:p>
        </w:tc>
        <w:tc>
          <w:tcPr>
            <w:tcW w:w="3859" w:type="dxa"/>
            <w:tcBorders>
              <w:top w:val="nil"/>
              <w:left w:val="nil"/>
              <w:bottom w:val="single" w:sz="4" w:space="0" w:color="auto"/>
              <w:right w:val="single" w:sz="4" w:space="0" w:color="auto"/>
            </w:tcBorders>
            <w:vAlign w:val="bottom"/>
          </w:tcPr>
          <w:p w:rsidR="0022223F" w:rsidRPr="00A71BC9" w:rsidRDefault="0022223F" w:rsidP="00A71BC9">
            <w:pPr>
              <w:rPr>
                <w:b/>
                <w:bCs/>
                <w:color w:val="000000"/>
                <w:sz w:val="18"/>
                <w:szCs w:val="18"/>
                <w:lang w:eastAsia="en-GB"/>
              </w:rPr>
            </w:pPr>
            <w:r w:rsidRPr="00A71BC9">
              <w:rPr>
                <w:b/>
                <w:bCs/>
                <w:color w:val="000000"/>
                <w:sz w:val="18"/>
                <w:szCs w:val="18"/>
                <w:lang w:eastAsia="en-GB"/>
              </w:rPr>
              <w:t>ENVIRONMENT &amp; ENTERPRISE</w:t>
            </w:r>
          </w:p>
        </w:tc>
        <w:tc>
          <w:tcPr>
            <w:tcW w:w="1080" w:type="dxa"/>
            <w:tcBorders>
              <w:top w:val="nil"/>
              <w:left w:val="nil"/>
              <w:bottom w:val="single" w:sz="4" w:space="0" w:color="auto"/>
              <w:right w:val="single" w:sz="4" w:space="0" w:color="auto"/>
            </w:tcBorders>
            <w:noWrap/>
            <w:vAlign w:val="bottom"/>
          </w:tcPr>
          <w:p w:rsidR="0022223F" w:rsidRPr="00A71BC9" w:rsidRDefault="0022223F" w:rsidP="00A71BC9">
            <w:pPr>
              <w:rPr>
                <w:color w:val="000000"/>
                <w:sz w:val="18"/>
                <w:szCs w:val="18"/>
                <w:lang w:eastAsia="en-GB"/>
              </w:rPr>
            </w:pPr>
            <w:r w:rsidRPr="00A71BC9">
              <w:rPr>
                <w:color w:val="000000"/>
                <w:sz w:val="18"/>
                <w:szCs w:val="18"/>
                <w:lang w:eastAsia="en-GB"/>
              </w:rPr>
              <w:t> </w:t>
            </w:r>
          </w:p>
        </w:tc>
        <w:tc>
          <w:tcPr>
            <w:tcW w:w="1080" w:type="dxa"/>
            <w:tcBorders>
              <w:top w:val="nil"/>
              <w:left w:val="nil"/>
              <w:bottom w:val="single" w:sz="4" w:space="0" w:color="auto"/>
              <w:right w:val="single" w:sz="4" w:space="0" w:color="auto"/>
            </w:tcBorders>
            <w:noWrap/>
            <w:vAlign w:val="bottom"/>
          </w:tcPr>
          <w:p w:rsidR="0022223F" w:rsidRPr="00A71BC9" w:rsidRDefault="0022223F" w:rsidP="00A71BC9">
            <w:pPr>
              <w:rPr>
                <w:color w:val="000000"/>
                <w:sz w:val="18"/>
                <w:szCs w:val="18"/>
                <w:lang w:eastAsia="en-GB"/>
              </w:rPr>
            </w:pPr>
            <w:r w:rsidRPr="00A71BC9">
              <w:rPr>
                <w:color w:val="000000"/>
                <w:sz w:val="18"/>
                <w:szCs w:val="18"/>
                <w:lang w:eastAsia="en-GB"/>
              </w:rPr>
              <w:t> </w:t>
            </w:r>
          </w:p>
        </w:tc>
        <w:tc>
          <w:tcPr>
            <w:tcW w:w="1080" w:type="dxa"/>
            <w:tcBorders>
              <w:top w:val="nil"/>
              <w:left w:val="nil"/>
              <w:bottom w:val="single" w:sz="4" w:space="0" w:color="auto"/>
              <w:right w:val="single" w:sz="4" w:space="0" w:color="auto"/>
            </w:tcBorders>
            <w:noWrap/>
            <w:vAlign w:val="bottom"/>
          </w:tcPr>
          <w:p w:rsidR="0022223F" w:rsidRPr="00A71BC9" w:rsidRDefault="0022223F" w:rsidP="00A71BC9">
            <w:pPr>
              <w:rPr>
                <w:color w:val="000000"/>
                <w:sz w:val="18"/>
                <w:szCs w:val="18"/>
                <w:lang w:eastAsia="en-GB"/>
              </w:rPr>
            </w:pPr>
            <w:r w:rsidRPr="00A71BC9">
              <w:rPr>
                <w:color w:val="000000"/>
                <w:sz w:val="18"/>
                <w:szCs w:val="18"/>
                <w:lang w:eastAsia="en-GB"/>
              </w:rPr>
              <w:t> </w:t>
            </w:r>
          </w:p>
        </w:tc>
        <w:tc>
          <w:tcPr>
            <w:tcW w:w="1080" w:type="dxa"/>
            <w:tcBorders>
              <w:top w:val="nil"/>
              <w:left w:val="nil"/>
              <w:bottom w:val="single" w:sz="4" w:space="0" w:color="auto"/>
              <w:right w:val="single" w:sz="4" w:space="0" w:color="auto"/>
            </w:tcBorders>
            <w:noWrap/>
            <w:vAlign w:val="bottom"/>
          </w:tcPr>
          <w:p w:rsidR="0022223F" w:rsidRPr="00A71BC9" w:rsidRDefault="0022223F" w:rsidP="00A71BC9">
            <w:pPr>
              <w:rPr>
                <w:color w:val="000000"/>
                <w:sz w:val="18"/>
                <w:szCs w:val="18"/>
                <w:lang w:eastAsia="en-GB"/>
              </w:rPr>
            </w:pPr>
            <w:r w:rsidRPr="00A71BC9">
              <w:rPr>
                <w:color w:val="000000"/>
                <w:sz w:val="18"/>
                <w:szCs w:val="18"/>
                <w:lang w:eastAsia="en-GB"/>
              </w:rPr>
              <w:t> </w:t>
            </w:r>
          </w:p>
        </w:tc>
        <w:tc>
          <w:tcPr>
            <w:tcW w:w="4640" w:type="dxa"/>
            <w:tcBorders>
              <w:top w:val="nil"/>
              <w:left w:val="nil"/>
              <w:bottom w:val="single" w:sz="4" w:space="0" w:color="auto"/>
              <w:right w:val="single" w:sz="4" w:space="0" w:color="auto"/>
            </w:tcBorders>
            <w:noWrap/>
            <w:vAlign w:val="bottom"/>
          </w:tcPr>
          <w:p w:rsidR="0022223F" w:rsidRPr="00A71BC9" w:rsidRDefault="0022223F" w:rsidP="00A71BC9">
            <w:pPr>
              <w:rPr>
                <w:color w:val="000000"/>
                <w:sz w:val="18"/>
                <w:szCs w:val="18"/>
                <w:lang w:eastAsia="en-GB"/>
              </w:rPr>
            </w:pPr>
            <w:r w:rsidRPr="00A71BC9">
              <w:rPr>
                <w:color w:val="000000"/>
                <w:sz w:val="18"/>
                <w:szCs w:val="18"/>
                <w:lang w:eastAsia="en-GB"/>
              </w:rPr>
              <w:t> </w:t>
            </w:r>
          </w:p>
        </w:tc>
      </w:tr>
      <w:tr w:rsidR="0022223F" w:rsidRPr="00A71BC9">
        <w:trPr>
          <w:trHeight w:val="720"/>
        </w:trPr>
        <w:tc>
          <w:tcPr>
            <w:tcW w:w="1241" w:type="dxa"/>
            <w:tcBorders>
              <w:top w:val="nil"/>
              <w:left w:val="single" w:sz="4" w:space="0" w:color="auto"/>
              <w:bottom w:val="single" w:sz="4" w:space="0" w:color="auto"/>
              <w:right w:val="single" w:sz="4" w:space="0" w:color="auto"/>
            </w:tcBorders>
            <w:noWrap/>
            <w:vAlign w:val="center"/>
          </w:tcPr>
          <w:p w:rsidR="0022223F" w:rsidRPr="00A71BC9" w:rsidRDefault="0022223F" w:rsidP="00A71BC9">
            <w:pPr>
              <w:rPr>
                <w:sz w:val="18"/>
                <w:szCs w:val="18"/>
                <w:lang w:eastAsia="en-GB"/>
              </w:rPr>
            </w:pPr>
            <w:r w:rsidRPr="00A71BC9">
              <w:rPr>
                <w:sz w:val="18"/>
                <w:szCs w:val="18"/>
                <w:lang w:eastAsia="en-GB"/>
              </w:rPr>
              <w:t>E&amp;E011</w:t>
            </w:r>
          </w:p>
        </w:tc>
        <w:tc>
          <w:tcPr>
            <w:tcW w:w="3859"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Public Realm Integrated Service Model (PRISM) efficiencies.  Towards Excellence Programme efficiencies</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25</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-375</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22223F" w:rsidRPr="00A71BC9" w:rsidRDefault="0022223F" w:rsidP="00A71BC9">
            <w:pPr>
              <w:rPr>
                <w:sz w:val="18"/>
                <w:szCs w:val="18"/>
                <w:lang w:eastAsia="en-GB"/>
              </w:rPr>
            </w:pPr>
            <w:r w:rsidRPr="00A71BC9">
              <w:rPr>
                <w:sz w:val="18"/>
                <w:szCs w:val="18"/>
                <w:lang w:eastAsia="en-GB"/>
              </w:rPr>
              <w:t>Green</w:t>
            </w:r>
          </w:p>
        </w:tc>
        <w:tc>
          <w:tcPr>
            <w:tcW w:w="4640" w:type="dxa"/>
            <w:vMerge w:val="restart"/>
            <w:tcBorders>
              <w:top w:val="nil"/>
              <w:left w:val="single" w:sz="4" w:space="0" w:color="auto"/>
              <w:bottom w:val="single" w:sz="4" w:space="0" w:color="000000"/>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Towards Excellence restructure completed and staff salaries realigned to reflect the new costed structure.  A shortfall in salaries is being managed through vacancies.  Savings profiled to 15/16 (£375K) relate to route optimisation work.</w:t>
            </w:r>
          </w:p>
        </w:tc>
      </w:tr>
      <w:tr w:rsidR="0022223F" w:rsidRPr="00A71BC9">
        <w:trPr>
          <w:trHeight w:val="720"/>
        </w:trPr>
        <w:tc>
          <w:tcPr>
            <w:tcW w:w="1241" w:type="dxa"/>
            <w:tcBorders>
              <w:top w:val="nil"/>
              <w:left w:val="single" w:sz="4" w:space="0" w:color="auto"/>
              <w:bottom w:val="single" w:sz="4" w:space="0" w:color="auto"/>
              <w:right w:val="single" w:sz="4" w:space="0" w:color="auto"/>
            </w:tcBorders>
            <w:noWrap/>
            <w:vAlign w:val="center"/>
          </w:tcPr>
          <w:p w:rsidR="0022223F" w:rsidRPr="00A71BC9" w:rsidRDefault="0022223F" w:rsidP="00A71BC9">
            <w:pPr>
              <w:rPr>
                <w:sz w:val="18"/>
                <w:szCs w:val="18"/>
                <w:lang w:eastAsia="en-GB"/>
              </w:rPr>
            </w:pPr>
            <w:r w:rsidRPr="00A71BC9">
              <w:rPr>
                <w:sz w:val="18"/>
                <w:szCs w:val="18"/>
                <w:lang w:eastAsia="en-GB"/>
              </w:rPr>
              <w:t>E&amp;E013</w:t>
            </w:r>
          </w:p>
        </w:tc>
        <w:tc>
          <w:tcPr>
            <w:tcW w:w="3859"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Public Realm Post reductions. Efficiency in management and support to Borough's allotments</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-24</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22223F" w:rsidRPr="00A71BC9" w:rsidRDefault="0022223F" w:rsidP="00A71BC9">
            <w:pPr>
              <w:rPr>
                <w:sz w:val="18"/>
                <w:szCs w:val="18"/>
                <w:lang w:eastAsia="en-GB"/>
              </w:rPr>
            </w:pPr>
            <w:r w:rsidRPr="00A71BC9">
              <w:rPr>
                <w:sz w:val="18"/>
                <w:szCs w:val="18"/>
                <w:lang w:eastAsia="en-GB"/>
              </w:rPr>
              <w:t>Green</w:t>
            </w:r>
          </w:p>
        </w:tc>
        <w:tc>
          <w:tcPr>
            <w:tcW w:w="4640" w:type="dxa"/>
            <w:vMerge/>
            <w:tcBorders>
              <w:top w:val="nil"/>
              <w:left w:val="single" w:sz="4" w:space="0" w:color="auto"/>
              <w:bottom w:val="single" w:sz="4" w:space="0" w:color="000000"/>
              <w:right w:val="single" w:sz="4" w:space="0" w:color="auto"/>
            </w:tcBorders>
            <w:vAlign w:val="center"/>
          </w:tcPr>
          <w:p w:rsidR="0022223F" w:rsidRPr="00A71BC9" w:rsidRDefault="0022223F" w:rsidP="00A71BC9">
            <w:pPr>
              <w:rPr>
                <w:sz w:val="18"/>
                <w:szCs w:val="18"/>
                <w:lang w:eastAsia="en-GB"/>
              </w:rPr>
            </w:pPr>
          </w:p>
        </w:tc>
      </w:tr>
      <w:tr w:rsidR="0022223F" w:rsidRPr="00A71BC9">
        <w:trPr>
          <w:trHeight w:val="1440"/>
        </w:trPr>
        <w:tc>
          <w:tcPr>
            <w:tcW w:w="1241" w:type="dxa"/>
            <w:tcBorders>
              <w:top w:val="nil"/>
              <w:left w:val="single" w:sz="4" w:space="0" w:color="auto"/>
              <w:bottom w:val="single" w:sz="4" w:space="0" w:color="auto"/>
              <w:right w:val="single" w:sz="4" w:space="0" w:color="auto"/>
            </w:tcBorders>
            <w:noWrap/>
            <w:vAlign w:val="center"/>
          </w:tcPr>
          <w:p w:rsidR="0022223F" w:rsidRPr="00A71BC9" w:rsidRDefault="0022223F" w:rsidP="00A71BC9">
            <w:pPr>
              <w:rPr>
                <w:sz w:val="18"/>
                <w:szCs w:val="18"/>
                <w:lang w:eastAsia="en-GB"/>
              </w:rPr>
            </w:pPr>
            <w:r w:rsidRPr="00A71BC9">
              <w:rPr>
                <w:sz w:val="18"/>
                <w:szCs w:val="18"/>
                <w:lang w:eastAsia="en-GB"/>
              </w:rPr>
              <w:t>E&amp;E012</w:t>
            </w:r>
          </w:p>
        </w:tc>
        <w:tc>
          <w:tcPr>
            <w:tcW w:w="3859"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Further management reductions in Environment</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-145</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22223F" w:rsidRPr="00A71BC9" w:rsidRDefault="0022223F" w:rsidP="00A71BC9">
            <w:pPr>
              <w:rPr>
                <w:sz w:val="18"/>
                <w:szCs w:val="18"/>
                <w:lang w:eastAsia="en-GB"/>
              </w:rPr>
            </w:pPr>
            <w:r w:rsidRPr="00A71BC9">
              <w:rPr>
                <w:sz w:val="18"/>
                <w:szCs w:val="18"/>
                <w:lang w:eastAsia="en-GB"/>
              </w:rPr>
              <w:t>Green</w:t>
            </w:r>
          </w:p>
        </w:tc>
        <w:tc>
          <w:tcPr>
            <w:tcW w:w="4640"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The Towards Excellence restructure resulted in less actual savings than originally assumed in the MTFS due to changes to the posts/grades following staff consultation. This budget saving is being contained by holding the Divisional Director Property Services vacant.</w:t>
            </w:r>
          </w:p>
        </w:tc>
      </w:tr>
      <w:tr w:rsidR="0022223F" w:rsidRPr="00A71BC9">
        <w:trPr>
          <w:trHeight w:val="480"/>
        </w:trPr>
        <w:tc>
          <w:tcPr>
            <w:tcW w:w="1241" w:type="dxa"/>
            <w:tcBorders>
              <w:top w:val="nil"/>
              <w:left w:val="single" w:sz="4" w:space="0" w:color="auto"/>
              <w:bottom w:val="single" w:sz="4" w:space="0" w:color="auto"/>
              <w:right w:val="single" w:sz="4" w:space="0" w:color="auto"/>
            </w:tcBorders>
            <w:noWrap/>
            <w:vAlign w:val="center"/>
          </w:tcPr>
          <w:p w:rsidR="0022223F" w:rsidRPr="00A71BC9" w:rsidRDefault="0022223F" w:rsidP="00A71BC9">
            <w:pPr>
              <w:rPr>
                <w:sz w:val="18"/>
                <w:szCs w:val="18"/>
                <w:lang w:eastAsia="en-GB"/>
              </w:rPr>
            </w:pPr>
            <w:r w:rsidRPr="00A71BC9">
              <w:rPr>
                <w:sz w:val="18"/>
                <w:szCs w:val="18"/>
                <w:lang w:eastAsia="en-GB"/>
              </w:rPr>
              <w:t>E&amp;E016</w:t>
            </w:r>
          </w:p>
        </w:tc>
        <w:tc>
          <w:tcPr>
            <w:tcW w:w="3859"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Climate Change - Flexible retirement and consumables budget</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-58</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22223F" w:rsidRPr="00A71BC9" w:rsidRDefault="0022223F" w:rsidP="00A71BC9">
            <w:pPr>
              <w:rPr>
                <w:sz w:val="18"/>
                <w:szCs w:val="18"/>
                <w:lang w:eastAsia="en-GB"/>
              </w:rPr>
            </w:pPr>
            <w:r w:rsidRPr="00A71BC9">
              <w:rPr>
                <w:sz w:val="18"/>
                <w:szCs w:val="18"/>
                <w:lang w:eastAsia="en-GB"/>
              </w:rPr>
              <w:t>Green</w:t>
            </w:r>
          </w:p>
        </w:tc>
        <w:tc>
          <w:tcPr>
            <w:tcW w:w="4640"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Climate Change team has been deleted; work is now integrated with Commissioning Services division.</w:t>
            </w:r>
          </w:p>
        </w:tc>
      </w:tr>
      <w:tr w:rsidR="0022223F" w:rsidRPr="00A71BC9">
        <w:trPr>
          <w:trHeight w:val="1920"/>
        </w:trPr>
        <w:tc>
          <w:tcPr>
            <w:tcW w:w="1241" w:type="dxa"/>
            <w:tcBorders>
              <w:top w:val="nil"/>
              <w:left w:val="single" w:sz="4" w:space="0" w:color="auto"/>
              <w:bottom w:val="single" w:sz="4" w:space="0" w:color="auto"/>
              <w:right w:val="single" w:sz="4" w:space="0" w:color="auto"/>
            </w:tcBorders>
            <w:noWrap/>
            <w:vAlign w:val="center"/>
          </w:tcPr>
          <w:p w:rsidR="0022223F" w:rsidRPr="00A71BC9" w:rsidRDefault="0022223F" w:rsidP="00A71BC9">
            <w:pPr>
              <w:rPr>
                <w:sz w:val="18"/>
                <w:szCs w:val="18"/>
                <w:lang w:eastAsia="en-GB"/>
              </w:rPr>
            </w:pPr>
            <w:r w:rsidRPr="00A71BC9">
              <w:rPr>
                <w:sz w:val="18"/>
                <w:szCs w:val="18"/>
                <w:lang w:eastAsia="en-GB"/>
              </w:rPr>
              <w:t>E&amp;E023</w:t>
            </w:r>
          </w:p>
        </w:tc>
        <w:tc>
          <w:tcPr>
            <w:tcW w:w="3859"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Consolidation of Civic Centre accommodation to secure utility cost savings. Transformation Project</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-122</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-58</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22223F" w:rsidRPr="00A71BC9" w:rsidRDefault="0022223F" w:rsidP="00A71BC9">
            <w:pPr>
              <w:rPr>
                <w:sz w:val="18"/>
                <w:szCs w:val="18"/>
                <w:lang w:eastAsia="en-GB"/>
              </w:rPr>
            </w:pPr>
            <w:r w:rsidRPr="00A71BC9">
              <w:rPr>
                <w:sz w:val="18"/>
                <w:szCs w:val="18"/>
                <w:lang w:eastAsia="en-GB"/>
              </w:rPr>
              <w:t>Green</w:t>
            </w:r>
          </w:p>
        </w:tc>
        <w:tc>
          <w:tcPr>
            <w:tcW w:w="4640"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Civic 2 has been converted to a car park and schools have taken possession of Civic 3, 4, 5 &amp; 6 from 19 May 2014.  The saving will be a combination of the reduction in business rates and utilities costs.  Revised valuations have been received in respect of Business rates for some of the changes and the forecast charges for business rates are based on this.  Utilities savings are as yet unclear.</w:t>
            </w:r>
          </w:p>
        </w:tc>
      </w:tr>
      <w:tr w:rsidR="0022223F" w:rsidRPr="00A71BC9">
        <w:trPr>
          <w:trHeight w:val="720"/>
        </w:trPr>
        <w:tc>
          <w:tcPr>
            <w:tcW w:w="1241" w:type="dxa"/>
            <w:tcBorders>
              <w:top w:val="nil"/>
              <w:left w:val="single" w:sz="4" w:space="0" w:color="auto"/>
              <w:bottom w:val="single" w:sz="4" w:space="0" w:color="auto"/>
              <w:right w:val="single" w:sz="4" w:space="0" w:color="auto"/>
            </w:tcBorders>
            <w:noWrap/>
            <w:vAlign w:val="center"/>
          </w:tcPr>
          <w:p w:rsidR="0022223F" w:rsidRPr="00A71BC9" w:rsidRDefault="0022223F" w:rsidP="00A71BC9">
            <w:pPr>
              <w:rPr>
                <w:sz w:val="18"/>
                <w:szCs w:val="18"/>
                <w:lang w:eastAsia="en-GB"/>
              </w:rPr>
            </w:pPr>
            <w:r w:rsidRPr="00A71BC9">
              <w:rPr>
                <w:sz w:val="18"/>
                <w:szCs w:val="18"/>
                <w:lang w:eastAsia="en-GB"/>
              </w:rPr>
              <w:t>E&amp;E033</w:t>
            </w:r>
          </w:p>
        </w:tc>
        <w:tc>
          <w:tcPr>
            <w:tcW w:w="3859"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Trading Standards and Proceeds of Crime Act savings (linked to review of SLA with Brent trading Standards)</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-100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22223F" w:rsidRPr="00A71BC9" w:rsidRDefault="0022223F" w:rsidP="00A71BC9">
            <w:pPr>
              <w:rPr>
                <w:sz w:val="18"/>
                <w:szCs w:val="18"/>
                <w:lang w:eastAsia="en-GB"/>
              </w:rPr>
            </w:pPr>
            <w:r w:rsidRPr="00A71BC9">
              <w:rPr>
                <w:sz w:val="18"/>
                <w:szCs w:val="18"/>
                <w:lang w:eastAsia="en-GB"/>
              </w:rPr>
              <w:t>Green</w:t>
            </w:r>
          </w:p>
        </w:tc>
        <w:tc>
          <w:tcPr>
            <w:tcW w:w="4640"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The SLA has been agreed on 24 June 2014.  This saving will be met by generating additional POCA income.</w:t>
            </w:r>
          </w:p>
        </w:tc>
      </w:tr>
      <w:tr w:rsidR="0022223F" w:rsidRPr="00A71BC9">
        <w:trPr>
          <w:trHeight w:val="960"/>
        </w:trPr>
        <w:tc>
          <w:tcPr>
            <w:tcW w:w="1241" w:type="dxa"/>
            <w:tcBorders>
              <w:top w:val="nil"/>
              <w:left w:val="single" w:sz="4" w:space="0" w:color="auto"/>
              <w:bottom w:val="single" w:sz="4" w:space="0" w:color="auto"/>
              <w:right w:val="single" w:sz="4" w:space="0" w:color="auto"/>
            </w:tcBorders>
            <w:noWrap/>
            <w:vAlign w:val="center"/>
          </w:tcPr>
          <w:p w:rsidR="0022223F" w:rsidRPr="00A71BC9" w:rsidRDefault="0022223F" w:rsidP="00A71BC9">
            <w:pPr>
              <w:rPr>
                <w:sz w:val="18"/>
                <w:szCs w:val="18"/>
                <w:lang w:eastAsia="en-GB"/>
              </w:rPr>
            </w:pPr>
            <w:r w:rsidRPr="00A71BC9">
              <w:rPr>
                <w:sz w:val="18"/>
                <w:szCs w:val="18"/>
                <w:lang w:eastAsia="en-GB"/>
              </w:rPr>
              <w:t>E&amp;E039</w:t>
            </w:r>
          </w:p>
        </w:tc>
        <w:tc>
          <w:tcPr>
            <w:tcW w:w="3859"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Revenue maximisation - Fleet sponsorship: Explore advertisement opportunities for PRS fleet</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-25</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single" w:sz="4" w:space="0" w:color="auto"/>
              <w:left w:val="single" w:sz="4" w:space="0" w:color="auto"/>
              <w:bottom w:val="single" w:sz="4" w:space="0" w:color="auto"/>
              <w:right w:val="single" w:sz="4" w:space="0" w:color="auto"/>
            </w:tcBorders>
            <w:shd w:val="clear" w:color="000000" w:fill="FF99CC"/>
            <w:noWrap/>
            <w:vAlign w:val="center"/>
          </w:tcPr>
          <w:p w:rsidR="0022223F" w:rsidRPr="00A71BC9" w:rsidRDefault="0022223F" w:rsidP="00A71BC9">
            <w:pPr>
              <w:rPr>
                <w:sz w:val="18"/>
                <w:szCs w:val="18"/>
                <w:lang w:eastAsia="en-GB"/>
              </w:rPr>
            </w:pPr>
            <w:r w:rsidRPr="00A71BC9">
              <w:rPr>
                <w:sz w:val="18"/>
                <w:szCs w:val="18"/>
                <w:lang w:eastAsia="en-GB"/>
              </w:rPr>
              <w:t>Red</w:t>
            </w:r>
          </w:p>
        </w:tc>
        <w:tc>
          <w:tcPr>
            <w:tcW w:w="4640"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 xml:space="preserve">This is being taken forward by Procurement team as part of the corporate initiative 'Using the Market'. Potential income for advertising on fleet is £25K, but profiled to 2015/16. </w:t>
            </w:r>
          </w:p>
        </w:tc>
      </w:tr>
      <w:tr w:rsidR="0022223F" w:rsidRPr="00A71BC9">
        <w:trPr>
          <w:trHeight w:val="960"/>
        </w:trPr>
        <w:tc>
          <w:tcPr>
            <w:tcW w:w="1241" w:type="dxa"/>
            <w:tcBorders>
              <w:top w:val="nil"/>
              <w:left w:val="single" w:sz="4" w:space="0" w:color="auto"/>
              <w:bottom w:val="single" w:sz="4" w:space="0" w:color="auto"/>
              <w:right w:val="single" w:sz="4" w:space="0" w:color="auto"/>
            </w:tcBorders>
            <w:noWrap/>
            <w:vAlign w:val="center"/>
          </w:tcPr>
          <w:p w:rsidR="0022223F" w:rsidRPr="00A71BC9" w:rsidRDefault="0022223F" w:rsidP="00A71BC9">
            <w:pPr>
              <w:rPr>
                <w:sz w:val="18"/>
                <w:szCs w:val="18"/>
                <w:lang w:eastAsia="en-GB"/>
              </w:rPr>
            </w:pPr>
            <w:r w:rsidRPr="00A71BC9">
              <w:rPr>
                <w:sz w:val="18"/>
                <w:szCs w:val="18"/>
                <w:lang w:eastAsia="en-GB"/>
              </w:rPr>
              <w:t>E&amp;E041</w:t>
            </w:r>
          </w:p>
        </w:tc>
        <w:tc>
          <w:tcPr>
            <w:tcW w:w="3859"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Grass Verge Maintenance reduction</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-165</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22223F" w:rsidRPr="00A71BC9" w:rsidRDefault="0022223F" w:rsidP="00A71BC9">
            <w:pPr>
              <w:rPr>
                <w:sz w:val="18"/>
                <w:szCs w:val="18"/>
                <w:lang w:eastAsia="en-GB"/>
              </w:rPr>
            </w:pPr>
            <w:r w:rsidRPr="00A71BC9">
              <w:rPr>
                <w:sz w:val="18"/>
                <w:szCs w:val="18"/>
                <w:lang w:eastAsia="en-GB"/>
              </w:rPr>
              <w:t>Green</w:t>
            </w:r>
          </w:p>
        </w:tc>
        <w:tc>
          <w:tcPr>
            <w:tcW w:w="4640"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 xml:space="preserve">The reduction in grass verge maintenance will be implemented in 14-15 resulting in savings on contract hire and staffing costs.  It is anticipated that the saving will be made in full in 14-15. </w:t>
            </w:r>
          </w:p>
        </w:tc>
      </w:tr>
      <w:tr w:rsidR="0022223F" w:rsidRPr="00A71BC9">
        <w:trPr>
          <w:trHeight w:val="1200"/>
        </w:trPr>
        <w:tc>
          <w:tcPr>
            <w:tcW w:w="1241" w:type="dxa"/>
            <w:tcBorders>
              <w:top w:val="nil"/>
              <w:left w:val="single" w:sz="4" w:space="0" w:color="auto"/>
              <w:bottom w:val="single" w:sz="4" w:space="0" w:color="auto"/>
              <w:right w:val="single" w:sz="4" w:space="0" w:color="auto"/>
            </w:tcBorders>
            <w:noWrap/>
            <w:vAlign w:val="center"/>
          </w:tcPr>
          <w:p w:rsidR="0022223F" w:rsidRPr="00A71BC9" w:rsidRDefault="0022223F" w:rsidP="00A71BC9">
            <w:pPr>
              <w:rPr>
                <w:sz w:val="18"/>
                <w:szCs w:val="18"/>
                <w:lang w:eastAsia="en-GB"/>
              </w:rPr>
            </w:pPr>
            <w:r w:rsidRPr="00A71BC9">
              <w:rPr>
                <w:sz w:val="18"/>
                <w:szCs w:val="18"/>
                <w:lang w:eastAsia="en-GB"/>
              </w:rPr>
              <w:t>E&amp;E043</w:t>
            </w:r>
          </w:p>
        </w:tc>
        <w:tc>
          <w:tcPr>
            <w:tcW w:w="3859"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Grounds maintenance: Annualised hours</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-81</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22223F" w:rsidRPr="00A71BC9" w:rsidRDefault="0022223F" w:rsidP="00A71BC9">
            <w:pPr>
              <w:rPr>
                <w:sz w:val="18"/>
                <w:szCs w:val="18"/>
                <w:lang w:eastAsia="en-GB"/>
              </w:rPr>
            </w:pPr>
            <w:r w:rsidRPr="00A71BC9">
              <w:rPr>
                <w:sz w:val="18"/>
                <w:szCs w:val="18"/>
                <w:lang w:eastAsia="en-GB"/>
              </w:rPr>
              <w:t>Green</w:t>
            </w:r>
          </w:p>
        </w:tc>
        <w:tc>
          <w:tcPr>
            <w:tcW w:w="4640"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A consultation pack on changes to working patterns, including the introduction of annualised hours, is being prepared.  The consultation with staff will commence in Quarter 2 14-15, with a view to implementing annualised hours by the end of 14-15.</w:t>
            </w:r>
          </w:p>
        </w:tc>
      </w:tr>
      <w:tr w:rsidR="0022223F" w:rsidRPr="00A71BC9">
        <w:trPr>
          <w:trHeight w:val="1680"/>
        </w:trPr>
        <w:tc>
          <w:tcPr>
            <w:tcW w:w="1241" w:type="dxa"/>
            <w:tcBorders>
              <w:top w:val="nil"/>
              <w:left w:val="single" w:sz="4" w:space="0" w:color="auto"/>
              <w:bottom w:val="single" w:sz="4" w:space="0" w:color="auto"/>
              <w:right w:val="single" w:sz="4" w:space="0" w:color="auto"/>
            </w:tcBorders>
            <w:noWrap/>
            <w:vAlign w:val="center"/>
          </w:tcPr>
          <w:p w:rsidR="0022223F" w:rsidRPr="00A71BC9" w:rsidRDefault="0022223F" w:rsidP="00A71BC9">
            <w:pPr>
              <w:rPr>
                <w:sz w:val="18"/>
                <w:szCs w:val="18"/>
                <w:lang w:eastAsia="en-GB"/>
              </w:rPr>
            </w:pPr>
            <w:r w:rsidRPr="00A71BC9">
              <w:rPr>
                <w:sz w:val="18"/>
                <w:szCs w:val="18"/>
                <w:lang w:eastAsia="en-GB"/>
              </w:rPr>
              <w:t>E&amp;E046</w:t>
            </w:r>
          </w:p>
        </w:tc>
        <w:tc>
          <w:tcPr>
            <w:tcW w:w="3859"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Review fine turf service standards</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-29</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22223F" w:rsidRPr="00A71BC9" w:rsidRDefault="0022223F" w:rsidP="00A71BC9">
            <w:pPr>
              <w:rPr>
                <w:sz w:val="18"/>
                <w:szCs w:val="18"/>
                <w:lang w:eastAsia="en-GB"/>
              </w:rPr>
            </w:pPr>
            <w:r w:rsidRPr="00A71BC9">
              <w:rPr>
                <w:sz w:val="18"/>
                <w:szCs w:val="18"/>
                <w:lang w:eastAsia="en-GB"/>
              </w:rPr>
              <w:t>Green</w:t>
            </w:r>
          </w:p>
        </w:tc>
        <w:tc>
          <w:tcPr>
            <w:tcW w:w="4640"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An in house team provides maintenance to keep turfed areas, primarily sports / football pitches in good condition to enable them to be hired out. In February, Cabinet agreed a 2% increase in pitch fees and the service aims to increase the marketing and promotion of such facilities to generate further income.</w:t>
            </w:r>
          </w:p>
        </w:tc>
      </w:tr>
      <w:tr w:rsidR="0022223F" w:rsidRPr="00A71BC9">
        <w:trPr>
          <w:trHeight w:val="960"/>
        </w:trPr>
        <w:tc>
          <w:tcPr>
            <w:tcW w:w="1241" w:type="dxa"/>
            <w:tcBorders>
              <w:top w:val="nil"/>
              <w:left w:val="single" w:sz="4" w:space="0" w:color="auto"/>
              <w:bottom w:val="single" w:sz="4" w:space="0" w:color="auto"/>
              <w:right w:val="single" w:sz="4" w:space="0" w:color="auto"/>
            </w:tcBorders>
            <w:noWrap/>
            <w:vAlign w:val="center"/>
          </w:tcPr>
          <w:p w:rsidR="0022223F" w:rsidRPr="00A71BC9" w:rsidRDefault="0022223F" w:rsidP="00A71BC9">
            <w:pPr>
              <w:rPr>
                <w:sz w:val="18"/>
                <w:szCs w:val="18"/>
                <w:lang w:eastAsia="en-GB"/>
              </w:rPr>
            </w:pPr>
            <w:r w:rsidRPr="00A71BC9">
              <w:rPr>
                <w:sz w:val="18"/>
                <w:szCs w:val="18"/>
                <w:lang w:eastAsia="en-GB"/>
              </w:rPr>
              <w:t>E&amp;E058</w:t>
            </w:r>
          </w:p>
        </w:tc>
        <w:tc>
          <w:tcPr>
            <w:tcW w:w="3859"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Procurement Savings - others</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-273</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22223F" w:rsidRPr="00A71BC9" w:rsidRDefault="0022223F" w:rsidP="00A71BC9">
            <w:pPr>
              <w:rPr>
                <w:sz w:val="18"/>
                <w:szCs w:val="18"/>
                <w:lang w:eastAsia="en-GB"/>
              </w:rPr>
            </w:pPr>
            <w:r w:rsidRPr="00A71BC9">
              <w:rPr>
                <w:sz w:val="18"/>
                <w:szCs w:val="18"/>
                <w:lang w:eastAsia="en-GB"/>
              </w:rPr>
              <w:t>Green</w:t>
            </w:r>
          </w:p>
        </w:tc>
        <w:tc>
          <w:tcPr>
            <w:tcW w:w="4640"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 xml:space="preserve">Every effort is being made to achieve this target despite the challenge. Sources of savings are currently being identified and it is anticipated that the saving will be made in full in 14/15.  </w:t>
            </w:r>
          </w:p>
        </w:tc>
      </w:tr>
      <w:tr w:rsidR="0022223F" w:rsidRPr="00A71BC9">
        <w:trPr>
          <w:trHeight w:val="1680"/>
        </w:trPr>
        <w:tc>
          <w:tcPr>
            <w:tcW w:w="1241" w:type="dxa"/>
            <w:tcBorders>
              <w:top w:val="nil"/>
              <w:left w:val="single" w:sz="4" w:space="0" w:color="auto"/>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E&amp;E 008 14/15</w:t>
            </w:r>
          </w:p>
        </w:tc>
        <w:tc>
          <w:tcPr>
            <w:tcW w:w="3859"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 xml:space="preserve">Budget Realignments for Parking Services (Income re-alignment,  no staff impact) </w:t>
            </w:r>
            <w:r w:rsidRPr="00A71BC9">
              <w:rPr>
                <w:sz w:val="18"/>
                <w:szCs w:val="18"/>
                <w:lang w:eastAsia="en-GB"/>
              </w:rPr>
              <w:br/>
              <w:t xml:space="preserve">Based on the review of historical performance, enforcement of parking and traffic offences for traffic management reasons in 2012/13 recovered more than the budgeted figure. </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-700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22223F" w:rsidRPr="00A71BC9" w:rsidRDefault="0022223F" w:rsidP="00A71BC9">
            <w:pPr>
              <w:rPr>
                <w:sz w:val="18"/>
                <w:szCs w:val="18"/>
                <w:lang w:eastAsia="en-GB"/>
              </w:rPr>
            </w:pPr>
            <w:r w:rsidRPr="00A71BC9">
              <w:rPr>
                <w:sz w:val="18"/>
                <w:szCs w:val="18"/>
                <w:lang w:eastAsia="en-GB"/>
              </w:rPr>
              <w:t>Green</w:t>
            </w:r>
          </w:p>
        </w:tc>
        <w:tc>
          <w:tcPr>
            <w:tcW w:w="4640"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The achievement of this saving is dependent on the outcome of the government consultation in relation to local authority parking.</w:t>
            </w:r>
          </w:p>
        </w:tc>
      </w:tr>
      <w:tr w:rsidR="0022223F" w:rsidRPr="00A71BC9">
        <w:trPr>
          <w:trHeight w:val="1200"/>
        </w:trPr>
        <w:tc>
          <w:tcPr>
            <w:tcW w:w="1241" w:type="dxa"/>
            <w:tcBorders>
              <w:top w:val="nil"/>
              <w:left w:val="single" w:sz="4" w:space="0" w:color="auto"/>
              <w:bottom w:val="single" w:sz="4" w:space="0" w:color="auto"/>
              <w:right w:val="single" w:sz="4" w:space="0" w:color="auto"/>
            </w:tcBorders>
            <w:noWrap/>
            <w:vAlign w:val="center"/>
          </w:tcPr>
          <w:p w:rsidR="0022223F" w:rsidRPr="00A71BC9" w:rsidRDefault="0022223F" w:rsidP="00A71BC9">
            <w:pPr>
              <w:rPr>
                <w:sz w:val="18"/>
                <w:szCs w:val="18"/>
                <w:lang w:eastAsia="en-GB"/>
              </w:rPr>
            </w:pPr>
            <w:r w:rsidRPr="00A71BC9">
              <w:rPr>
                <w:sz w:val="18"/>
                <w:szCs w:val="18"/>
                <w:lang w:eastAsia="en-GB"/>
              </w:rPr>
              <w:t>E&amp;E 009 14/15</w:t>
            </w:r>
          </w:p>
        </w:tc>
        <w:tc>
          <w:tcPr>
            <w:tcW w:w="3859"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 xml:space="preserve">Textiles Recycling </w:t>
            </w:r>
            <w:r w:rsidRPr="00A71BC9">
              <w:rPr>
                <w:sz w:val="18"/>
                <w:szCs w:val="18"/>
                <w:lang w:eastAsia="en-GB"/>
              </w:rPr>
              <w:br/>
              <w:t>Additional income generated from textiles recycling contract.</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-10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22223F" w:rsidRPr="00A71BC9" w:rsidRDefault="0022223F" w:rsidP="00A71BC9">
            <w:pPr>
              <w:rPr>
                <w:sz w:val="18"/>
                <w:szCs w:val="18"/>
                <w:lang w:eastAsia="en-GB"/>
              </w:rPr>
            </w:pPr>
            <w:r w:rsidRPr="00A71BC9">
              <w:rPr>
                <w:sz w:val="18"/>
                <w:szCs w:val="18"/>
                <w:lang w:eastAsia="en-GB"/>
              </w:rPr>
              <w:t>Green</w:t>
            </w:r>
          </w:p>
        </w:tc>
        <w:tc>
          <w:tcPr>
            <w:tcW w:w="4640"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New 4 year contract has been signed in August 2013 with a better price per tonne as a result of favourable market prices for textiles. Based on the income for Periods 1-6, the additional income will be achieved in full.</w:t>
            </w:r>
          </w:p>
        </w:tc>
      </w:tr>
      <w:tr w:rsidR="0022223F" w:rsidRPr="00A71BC9">
        <w:trPr>
          <w:trHeight w:val="720"/>
        </w:trPr>
        <w:tc>
          <w:tcPr>
            <w:tcW w:w="1241" w:type="dxa"/>
            <w:tcBorders>
              <w:top w:val="nil"/>
              <w:left w:val="single" w:sz="4" w:space="0" w:color="auto"/>
              <w:bottom w:val="single" w:sz="4" w:space="0" w:color="auto"/>
              <w:right w:val="single" w:sz="4" w:space="0" w:color="auto"/>
            </w:tcBorders>
            <w:noWrap/>
            <w:vAlign w:val="center"/>
          </w:tcPr>
          <w:p w:rsidR="0022223F" w:rsidRPr="00A71BC9" w:rsidRDefault="0022223F" w:rsidP="00A71BC9">
            <w:pPr>
              <w:rPr>
                <w:sz w:val="18"/>
                <w:szCs w:val="18"/>
                <w:lang w:eastAsia="en-GB"/>
              </w:rPr>
            </w:pPr>
            <w:r w:rsidRPr="00A71BC9">
              <w:rPr>
                <w:sz w:val="18"/>
                <w:szCs w:val="18"/>
                <w:lang w:eastAsia="en-GB"/>
              </w:rPr>
              <w:t>E&amp;E 010 14/15</w:t>
            </w:r>
          </w:p>
        </w:tc>
        <w:tc>
          <w:tcPr>
            <w:tcW w:w="3859"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Increase in income relating to leisure centre car parks</w:t>
            </w:r>
            <w:r w:rsidRPr="00A71BC9">
              <w:rPr>
                <w:sz w:val="18"/>
                <w:szCs w:val="18"/>
                <w:lang w:eastAsia="en-GB"/>
              </w:rPr>
              <w:br/>
              <w:t>Increase in leisure centre parking income</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-300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single" w:sz="4" w:space="0" w:color="auto"/>
              <w:left w:val="single" w:sz="4" w:space="0" w:color="auto"/>
              <w:bottom w:val="single" w:sz="4" w:space="0" w:color="auto"/>
              <w:right w:val="single" w:sz="4" w:space="0" w:color="auto"/>
            </w:tcBorders>
            <w:shd w:val="clear" w:color="000000" w:fill="FF99CC"/>
            <w:noWrap/>
            <w:vAlign w:val="center"/>
          </w:tcPr>
          <w:p w:rsidR="0022223F" w:rsidRPr="00A71BC9" w:rsidRDefault="0022223F" w:rsidP="00A71BC9">
            <w:pPr>
              <w:rPr>
                <w:sz w:val="18"/>
                <w:szCs w:val="18"/>
                <w:lang w:eastAsia="en-GB"/>
              </w:rPr>
            </w:pPr>
            <w:r w:rsidRPr="00A71BC9">
              <w:rPr>
                <w:sz w:val="18"/>
                <w:szCs w:val="18"/>
                <w:lang w:eastAsia="en-GB"/>
              </w:rPr>
              <w:t>Red</w:t>
            </w:r>
          </w:p>
        </w:tc>
        <w:tc>
          <w:tcPr>
            <w:tcW w:w="4640"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Implementation is not expected until later in the year.  A forecast increase in enforcement, CPZ and parking income will mitigate the shortfall in 14-15.</w:t>
            </w:r>
          </w:p>
        </w:tc>
      </w:tr>
      <w:tr w:rsidR="0022223F" w:rsidRPr="00A71BC9">
        <w:trPr>
          <w:trHeight w:val="285"/>
        </w:trPr>
        <w:tc>
          <w:tcPr>
            <w:tcW w:w="1241" w:type="dxa"/>
            <w:tcBorders>
              <w:top w:val="nil"/>
              <w:left w:val="single" w:sz="4" w:space="0" w:color="auto"/>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 </w:t>
            </w:r>
          </w:p>
        </w:tc>
        <w:tc>
          <w:tcPr>
            <w:tcW w:w="3859" w:type="dxa"/>
            <w:tcBorders>
              <w:top w:val="nil"/>
              <w:left w:val="nil"/>
              <w:bottom w:val="single" w:sz="4" w:space="0" w:color="auto"/>
              <w:right w:val="single" w:sz="4" w:space="0" w:color="auto"/>
            </w:tcBorders>
            <w:shd w:val="clear" w:color="000000" w:fill="C0C0C0"/>
            <w:vAlign w:val="center"/>
          </w:tcPr>
          <w:p w:rsidR="0022223F" w:rsidRPr="00A71BC9" w:rsidRDefault="0022223F" w:rsidP="00A71BC9">
            <w:pPr>
              <w:rPr>
                <w:b/>
                <w:bCs/>
                <w:sz w:val="18"/>
                <w:szCs w:val="18"/>
                <w:lang w:eastAsia="en-GB"/>
              </w:rPr>
            </w:pPr>
            <w:r w:rsidRPr="00A71BC9">
              <w:rPr>
                <w:b/>
                <w:bCs/>
                <w:sz w:val="18"/>
                <w:szCs w:val="18"/>
                <w:lang w:eastAsia="en-GB"/>
              </w:rPr>
              <w:t>Total Environment &amp; Enterprise Savings</w:t>
            </w:r>
          </w:p>
        </w:tc>
        <w:tc>
          <w:tcPr>
            <w:tcW w:w="1080" w:type="dxa"/>
            <w:tcBorders>
              <w:top w:val="nil"/>
              <w:left w:val="nil"/>
              <w:bottom w:val="single" w:sz="4" w:space="0" w:color="auto"/>
              <w:right w:val="single" w:sz="4" w:space="0" w:color="auto"/>
            </w:tcBorders>
            <w:shd w:val="clear" w:color="000000" w:fill="C0C0C0"/>
            <w:vAlign w:val="center"/>
          </w:tcPr>
          <w:p w:rsidR="0022223F" w:rsidRPr="00A71BC9" w:rsidRDefault="0022223F" w:rsidP="00A71BC9">
            <w:pPr>
              <w:jc w:val="right"/>
              <w:rPr>
                <w:b/>
                <w:bCs/>
                <w:sz w:val="18"/>
                <w:szCs w:val="18"/>
                <w:lang w:eastAsia="en-GB"/>
              </w:rPr>
            </w:pPr>
            <w:r w:rsidRPr="00A71BC9">
              <w:rPr>
                <w:b/>
                <w:bCs/>
                <w:sz w:val="18"/>
                <w:szCs w:val="18"/>
                <w:lang w:eastAsia="en-GB"/>
              </w:rPr>
              <w:t>-1,926</w:t>
            </w:r>
          </w:p>
        </w:tc>
        <w:tc>
          <w:tcPr>
            <w:tcW w:w="1080" w:type="dxa"/>
            <w:tcBorders>
              <w:top w:val="nil"/>
              <w:left w:val="nil"/>
              <w:bottom w:val="single" w:sz="4" w:space="0" w:color="auto"/>
              <w:right w:val="single" w:sz="4" w:space="0" w:color="auto"/>
            </w:tcBorders>
            <w:shd w:val="clear" w:color="000000" w:fill="C0C0C0"/>
            <w:vAlign w:val="center"/>
          </w:tcPr>
          <w:p w:rsidR="0022223F" w:rsidRPr="00A71BC9" w:rsidRDefault="0022223F" w:rsidP="00A71BC9">
            <w:pPr>
              <w:jc w:val="right"/>
              <w:rPr>
                <w:b/>
                <w:bCs/>
                <w:sz w:val="18"/>
                <w:szCs w:val="18"/>
                <w:lang w:eastAsia="en-GB"/>
              </w:rPr>
            </w:pPr>
            <w:r w:rsidRPr="00A71BC9">
              <w:rPr>
                <w:b/>
                <w:bCs/>
                <w:sz w:val="18"/>
                <w:szCs w:val="18"/>
                <w:lang w:eastAsia="en-GB"/>
              </w:rPr>
              <w:t>-514</w:t>
            </w:r>
          </w:p>
        </w:tc>
        <w:tc>
          <w:tcPr>
            <w:tcW w:w="1080" w:type="dxa"/>
            <w:tcBorders>
              <w:top w:val="nil"/>
              <w:left w:val="nil"/>
              <w:bottom w:val="single" w:sz="4" w:space="0" w:color="auto"/>
              <w:right w:val="single" w:sz="4" w:space="0" w:color="auto"/>
            </w:tcBorders>
            <w:shd w:val="clear" w:color="000000" w:fill="C0C0C0"/>
            <w:vAlign w:val="center"/>
          </w:tcPr>
          <w:p w:rsidR="0022223F" w:rsidRPr="00A71BC9" w:rsidRDefault="0022223F" w:rsidP="00A71BC9">
            <w:pPr>
              <w:jc w:val="right"/>
              <w:rPr>
                <w:b/>
                <w:bCs/>
                <w:sz w:val="18"/>
                <w:szCs w:val="18"/>
                <w:lang w:eastAsia="en-GB"/>
              </w:rPr>
            </w:pPr>
            <w:r w:rsidRPr="00A71BC9">
              <w:rPr>
                <w:b/>
                <w:bCs/>
                <w:sz w:val="18"/>
                <w:szCs w:val="18"/>
                <w:lang w:eastAsia="en-GB"/>
              </w:rPr>
              <w:t>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rPr>
                <w:b/>
                <w:bCs/>
                <w:sz w:val="18"/>
                <w:szCs w:val="18"/>
                <w:lang w:eastAsia="en-GB"/>
              </w:rPr>
            </w:pPr>
            <w:r w:rsidRPr="00A71BC9">
              <w:rPr>
                <w:b/>
                <w:bCs/>
                <w:sz w:val="18"/>
                <w:szCs w:val="18"/>
                <w:lang w:eastAsia="en-GB"/>
              </w:rPr>
              <w:t> </w:t>
            </w:r>
          </w:p>
        </w:tc>
        <w:tc>
          <w:tcPr>
            <w:tcW w:w="4640" w:type="dxa"/>
            <w:tcBorders>
              <w:top w:val="nil"/>
              <w:left w:val="nil"/>
              <w:bottom w:val="single" w:sz="4" w:space="0" w:color="auto"/>
              <w:right w:val="single" w:sz="4" w:space="0" w:color="auto"/>
            </w:tcBorders>
            <w:noWrap/>
            <w:vAlign w:val="center"/>
          </w:tcPr>
          <w:p w:rsidR="0022223F" w:rsidRPr="00A71BC9" w:rsidRDefault="0022223F" w:rsidP="00A71BC9">
            <w:pPr>
              <w:rPr>
                <w:b/>
                <w:bCs/>
                <w:sz w:val="18"/>
                <w:szCs w:val="18"/>
                <w:lang w:eastAsia="en-GB"/>
              </w:rPr>
            </w:pPr>
            <w:r w:rsidRPr="00A71BC9">
              <w:rPr>
                <w:b/>
                <w:bCs/>
                <w:sz w:val="18"/>
                <w:szCs w:val="18"/>
                <w:lang w:eastAsia="en-GB"/>
              </w:rPr>
              <w:t> </w:t>
            </w:r>
          </w:p>
        </w:tc>
      </w:tr>
      <w:tr w:rsidR="0022223F" w:rsidRPr="00A71BC9">
        <w:trPr>
          <w:trHeight w:val="285"/>
        </w:trPr>
        <w:tc>
          <w:tcPr>
            <w:tcW w:w="1241" w:type="dxa"/>
            <w:tcBorders>
              <w:top w:val="nil"/>
              <w:left w:val="single" w:sz="4" w:space="0" w:color="auto"/>
              <w:bottom w:val="single" w:sz="4" w:space="0" w:color="auto"/>
              <w:right w:val="single" w:sz="4" w:space="0" w:color="auto"/>
            </w:tcBorders>
            <w:vAlign w:val="bottom"/>
          </w:tcPr>
          <w:p w:rsidR="0022223F" w:rsidRPr="00A71BC9" w:rsidRDefault="0022223F" w:rsidP="00A71BC9">
            <w:pPr>
              <w:rPr>
                <w:color w:val="000000"/>
                <w:sz w:val="18"/>
                <w:szCs w:val="18"/>
                <w:lang w:eastAsia="en-GB"/>
              </w:rPr>
            </w:pPr>
            <w:r w:rsidRPr="00A71BC9">
              <w:rPr>
                <w:color w:val="000000"/>
                <w:sz w:val="18"/>
                <w:szCs w:val="18"/>
                <w:lang w:eastAsia="en-GB"/>
              </w:rPr>
              <w:t> </w:t>
            </w:r>
          </w:p>
        </w:tc>
        <w:tc>
          <w:tcPr>
            <w:tcW w:w="3859" w:type="dxa"/>
            <w:tcBorders>
              <w:top w:val="nil"/>
              <w:left w:val="nil"/>
              <w:bottom w:val="single" w:sz="4" w:space="0" w:color="auto"/>
              <w:right w:val="single" w:sz="4" w:space="0" w:color="auto"/>
            </w:tcBorders>
            <w:vAlign w:val="bottom"/>
          </w:tcPr>
          <w:p w:rsidR="0022223F" w:rsidRPr="00A71BC9" w:rsidRDefault="0022223F" w:rsidP="00A71BC9">
            <w:pPr>
              <w:rPr>
                <w:color w:val="000000"/>
                <w:sz w:val="18"/>
                <w:szCs w:val="18"/>
                <w:lang w:eastAsia="en-GB"/>
              </w:rPr>
            </w:pPr>
            <w:r w:rsidRPr="00A71BC9">
              <w:rPr>
                <w:color w:val="000000"/>
                <w:sz w:val="18"/>
                <w:szCs w:val="18"/>
                <w:lang w:eastAsia="en-GB"/>
              </w:rPr>
              <w:t> </w:t>
            </w:r>
          </w:p>
        </w:tc>
        <w:tc>
          <w:tcPr>
            <w:tcW w:w="1080" w:type="dxa"/>
            <w:tcBorders>
              <w:top w:val="nil"/>
              <w:left w:val="nil"/>
              <w:bottom w:val="single" w:sz="4" w:space="0" w:color="auto"/>
              <w:right w:val="single" w:sz="4" w:space="0" w:color="auto"/>
            </w:tcBorders>
            <w:noWrap/>
            <w:vAlign w:val="bottom"/>
          </w:tcPr>
          <w:p w:rsidR="0022223F" w:rsidRPr="00A71BC9" w:rsidRDefault="0022223F" w:rsidP="00A71BC9">
            <w:pPr>
              <w:rPr>
                <w:color w:val="000000"/>
                <w:sz w:val="18"/>
                <w:szCs w:val="18"/>
                <w:lang w:eastAsia="en-GB"/>
              </w:rPr>
            </w:pPr>
            <w:r w:rsidRPr="00A71BC9">
              <w:rPr>
                <w:color w:val="000000"/>
                <w:sz w:val="18"/>
                <w:szCs w:val="18"/>
                <w:lang w:eastAsia="en-GB"/>
              </w:rPr>
              <w:t> </w:t>
            </w:r>
          </w:p>
        </w:tc>
        <w:tc>
          <w:tcPr>
            <w:tcW w:w="1080" w:type="dxa"/>
            <w:tcBorders>
              <w:top w:val="nil"/>
              <w:left w:val="nil"/>
              <w:bottom w:val="single" w:sz="4" w:space="0" w:color="auto"/>
              <w:right w:val="single" w:sz="4" w:space="0" w:color="auto"/>
            </w:tcBorders>
            <w:noWrap/>
            <w:vAlign w:val="bottom"/>
          </w:tcPr>
          <w:p w:rsidR="0022223F" w:rsidRPr="00A71BC9" w:rsidRDefault="0022223F" w:rsidP="00A71BC9">
            <w:pPr>
              <w:rPr>
                <w:color w:val="000000"/>
                <w:sz w:val="18"/>
                <w:szCs w:val="18"/>
                <w:lang w:eastAsia="en-GB"/>
              </w:rPr>
            </w:pPr>
            <w:r w:rsidRPr="00A71BC9">
              <w:rPr>
                <w:color w:val="000000"/>
                <w:sz w:val="18"/>
                <w:szCs w:val="18"/>
                <w:lang w:eastAsia="en-GB"/>
              </w:rPr>
              <w:t> </w:t>
            </w:r>
          </w:p>
        </w:tc>
        <w:tc>
          <w:tcPr>
            <w:tcW w:w="1080" w:type="dxa"/>
            <w:tcBorders>
              <w:top w:val="nil"/>
              <w:left w:val="nil"/>
              <w:bottom w:val="single" w:sz="4" w:space="0" w:color="auto"/>
              <w:right w:val="single" w:sz="4" w:space="0" w:color="auto"/>
            </w:tcBorders>
            <w:noWrap/>
            <w:vAlign w:val="bottom"/>
          </w:tcPr>
          <w:p w:rsidR="0022223F" w:rsidRPr="00A71BC9" w:rsidRDefault="0022223F" w:rsidP="00A71BC9">
            <w:pPr>
              <w:rPr>
                <w:color w:val="000000"/>
                <w:sz w:val="18"/>
                <w:szCs w:val="18"/>
                <w:lang w:eastAsia="en-GB"/>
              </w:rPr>
            </w:pPr>
            <w:r w:rsidRPr="00A71BC9">
              <w:rPr>
                <w:color w:val="000000"/>
                <w:sz w:val="18"/>
                <w:szCs w:val="18"/>
                <w:lang w:eastAsia="en-GB"/>
              </w:rPr>
              <w:t> </w:t>
            </w:r>
          </w:p>
        </w:tc>
        <w:tc>
          <w:tcPr>
            <w:tcW w:w="1080" w:type="dxa"/>
            <w:tcBorders>
              <w:top w:val="nil"/>
              <w:left w:val="nil"/>
              <w:bottom w:val="single" w:sz="4" w:space="0" w:color="auto"/>
              <w:right w:val="single" w:sz="4" w:space="0" w:color="auto"/>
            </w:tcBorders>
            <w:noWrap/>
            <w:vAlign w:val="bottom"/>
          </w:tcPr>
          <w:p w:rsidR="0022223F" w:rsidRPr="00A71BC9" w:rsidRDefault="0022223F" w:rsidP="00A71BC9">
            <w:pPr>
              <w:rPr>
                <w:color w:val="000000"/>
                <w:sz w:val="18"/>
                <w:szCs w:val="18"/>
                <w:lang w:eastAsia="en-GB"/>
              </w:rPr>
            </w:pPr>
            <w:r w:rsidRPr="00A71BC9">
              <w:rPr>
                <w:color w:val="000000"/>
                <w:sz w:val="18"/>
                <w:szCs w:val="18"/>
                <w:lang w:eastAsia="en-GB"/>
              </w:rPr>
              <w:t> </w:t>
            </w:r>
          </w:p>
        </w:tc>
        <w:tc>
          <w:tcPr>
            <w:tcW w:w="4640" w:type="dxa"/>
            <w:tcBorders>
              <w:top w:val="nil"/>
              <w:left w:val="nil"/>
              <w:bottom w:val="single" w:sz="4" w:space="0" w:color="auto"/>
              <w:right w:val="single" w:sz="4" w:space="0" w:color="auto"/>
            </w:tcBorders>
            <w:noWrap/>
            <w:vAlign w:val="bottom"/>
          </w:tcPr>
          <w:p w:rsidR="0022223F" w:rsidRPr="00A71BC9" w:rsidRDefault="0022223F" w:rsidP="00A71BC9">
            <w:pPr>
              <w:rPr>
                <w:color w:val="000000"/>
                <w:sz w:val="18"/>
                <w:szCs w:val="18"/>
                <w:lang w:eastAsia="en-GB"/>
              </w:rPr>
            </w:pPr>
            <w:r w:rsidRPr="00A71BC9">
              <w:rPr>
                <w:color w:val="000000"/>
                <w:sz w:val="18"/>
                <w:szCs w:val="18"/>
                <w:lang w:eastAsia="en-GB"/>
              </w:rPr>
              <w:t> </w:t>
            </w:r>
          </w:p>
        </w:tc>
      </w:tr>
      <w:tr w:rsidR="0022223F" w:rsidRPr="00A71BC9">
        <w:trPr>
          <w:trHeight w:val="285"/>
        </w:trPr>
        <w:tc>
          <w:tcPr>
            <w:tcW w:w="1241" w:type="dxa"/>
            <w:tcBorders>
              <w:top w:val="nil"/>
              <w:left w:val="single" w:sz="4" w:space="0" w:color="auto"/>
              <w:bottom w:val="single" w:sz="4" w:space="0" w:color="auto"/>
              <w:right w:val="single" w:sz="4" w:space="0" w:color="auto"/>
            </w:tcBorders>
            <w:vAlign w:val="bottom"/>
          </w:tcPr>
          <w:p w:rsidR="0022223F" w:rsidRPr="00A71BC9" w:rsidRDefault="0022223F" w:rsidP="00A71BC9">
            <w:pPr>
              <w:rPr>
                <w:color w:val="000000"/>
                <w:sz w:val="18"/>
                <w:szCs w:val="18"/>
                <w:lang w:eastAsia="en-GB"/>
              </w:rPr>
            </w:pPr>
            <w:r w:rsidRPr="00A71BC9">
              <w:rPr>
                <w:color w:val="000000"/>
                <w:sz w:val="18"/>
                <w:szCs w:val="18"/>
                <w:lang w:eastAsia="en-GB"/>
              </w:rPr>
              <w:t> </w:t>
            </w:r>
          </w:p>
        </w:tc>
        <w:tc>
          <w:tcPr>
            <w:tcW w:w="3859" w:type="dxa"/>
            <w:tcBorders>
              <w:top w:val="nil"/>
              <w:left w:val="nil"/>
              <w:bottom w:val="single" w:sz="4" w:space="0" w:color="auto"/>
              <w:right w:val="single" w:sz="4" w:space="0" w:color="auto"/>
            </w:tcBorders>
            <w:noWrap/>
            <w:vAlign w:val="bottom"/>
          </w:tcPr>
          <w:p w:rsidR="0022223F" w:rsidRPr="00A71BC9" w:rsidRDefault="0022223F" w:rsidP="00A71BC9">
            <w:pPr>
              <w:rPr>
                <w:b/>
                <w:bCs/>
                <w:color w:val="000000"/>
                <w:sz w:val="18"/>
                <w:szCs w:val="18"/>
                <w:lang w:eastAsia="en-GB"/>
              </w:rPr>
            </w:pPr>
            <w:r w:rsidRPr="00A71BC9">
              <w:rPr>
                <w:b/>
                <w:bCs/>
                <w:color w:val="000000"/>
                <w:sz w:val="18"/>
                <w:szCs w:val="18"/>
                <w:lang w:eastAsia="en-GB"/>
              </w:rPr>
              <w:t>COMMUNITY, HEALTH AND WELLBEING</w:t>
            </w:r>
          </w:p>
        </w:tc>
        <w:tc>
          <w:tcPr>
            <w:tcW w:w="1080" w:type="dxa"/>
            <w:tcBorders>
              <w:top w:val="nil"/>
              <w:left w:val="nil"/>
              <w:bottom w:val="single" w:sz="4" w:space="0" w:color="auto"/>
              <w:right w:val="single" w:sz="4" w:space="0" w:color="auto"/>
            </w:tcBorders>
            <w:noWrap/>
            <w:vAlign w:val="bottom"/>
          </w:tcPr>
          <w:p w:rsidR="0022223F" w:rsidRPr="00A71BC9" w:rsidRDefault="0022223F" w:rsidP="00A71BC9">
            <w:pPr>
              <w:rPr>
                <w:color w:val="000000"/>
                <w:sz w:val="18"/>
                <w:szCs w:val="18"/>
                <w:lang w:eastAsia="en-GB"/>
              </w:rPr>
            </w:pPr>
            <w:r w:rsidRPr="00A71BC9">
              <w:rPr>
                <w:color w:val="000000"/>
                <w:sz w:val="18"/>
                <w:szCs w:val="18"/>
                <w:lang w:eastAsia="en-GB"/>
              </w:rPr>
              <w:t> </w:t>
            </w:r>
          </w:p>
        </w:tc>
        <w:tc>
          <w:tcPr>
            <w:tcW w:w="1080" w:type="dxa"/>
            <w:tcBorders>
              <w:top w:val="nil"/>
              <w:left w:val="nil"/>
              <w:bottom w:val="single" w:sz="4" w:space="0" w:color="auto"/>
              <w:right w:val="single" w:sz="4" w:space="0" w:color="auto"/>
            </w:tcBorders>
            <w:noWrap/>
            <w:vAlign w:val="bottom"/>
          </w:tcPr>
          <w:p w:rsidR="0022223F" w:rsidRPr="00A71BC9" w:rsidRDefault="0022223F" w:rsidP="00A71BC9">
            <w:pPr>
              <w:rPr>
                <w:color w:val="000000"/>
                <w:sz w:val="18"/>
                <w:szCs w:val="18"/>
                <w:lang w:eastAsia="en-GB"/>
              </w:rPr>
            </w:pPr>
            <w:r w:rsidRPr="00A71BC9">
              <w:rPr>
                <w:color w:val="000000"/>
                <w:sz w:val="18"/>
                <w:szCs w:val="18"/>
                <w:lang w:eastAsia="en-GB"/>
              </w:rPr>
              <w:t> </w:t>
            </w:r>
          </w:p>
        </w:tc>
        <w:tc>
          <w:tcPr>
            <w:tcW w:w="1080" w:type="dxa"/>
            <w:tcBorders>
              <w:top w:val="nil"/>
              <w:left w:val="nil"/>
              <w:bottom w:val="single" w:sz="4" w:space="0" w:color="auto"/>
              <w:right w:val="single" w:sz="4" w:space="0" w:color="auto"/>
            </w:tcBorders>
            <w:noWrap/>
            <w:vAlign w:val="bottom"/>
          </w:tcPr>
          <w:p w:rsidR="0022223F" w:rsidRPr="00A71BC9" w:rsidRDefault="0022223F" w:rsidP="00A71BC9">
            <w:pPr>
              <w:rPr>
                <w:color w:val="000000"/>
                <w:sz w:val="18"/>
                <w:szCs w:val="18"/>
                <w:lang w:eastAsia="en-GB"/>
              </w:rPr>
            </w:pPr>
            <w:r w:rsidRPr="00A71BC9">
              <w:rPr>
                <w:color w:val="000000"/>
                <w:sz w:val="18"/>
                <w:szCs w:val="18"/>
                <w:lang w:eastAsia="en-GB"/>
              </w:rPr>
              <w:t> </w:t>
            </w:r>
          </w:p>
        </w:tc>
        <w:tc>
          <w:tcPr>
            <w:tcW w:w="1080" w:type="dxa"/>
            <w:tcBorders>
              <w:top w:val="nil"/>
              <w:left w:val="nil"/>
              <w:bottom w:val="single" w:sz="4" w:space="0" w:color="auto"/>
              <w:right w:val="single" w:sz="4" w:space="0" w:color="auto"/>
            </w:tcBorders>
            <w:noWrap/>
            <w:vAlign w:val="bottom"/>
          </w:tcPr>
          <w:p w:rsidR="0022223F" w:rsidRPr="00A71BC9" w:rsidRDefault="0022223F" w:rsidP="00A71BC9">
            <w:pPr>
              <w:rPr>
                <w:color w:val="000000"/>
                <w:sz w:val="18"/>
                <w:szCs w:val="18"/>
                <w:lang w:eastAsia="en-GB"/>
              </w:rPr>
            </w:pPr>
            <w:r w:rsidRPr="00A71BC9">
              <w:rPr>
                <w:color w:val="000000"/>
                <w:sz w:val="18"/>
                <w:szCs w:val="18"/>
                <w:lang w:eastAsia="en-GB"/>
              </w:rPr>
              <w:t> </w:t>
            </w:r>
          </w:p>
        </w:tc>
        <w:tc>
          <w:tcPr>
            <w:tcW w:w="4640" w:type="dxa"/>
            <w:tcBorders>
              <w:top w:val="nil"/>
              <w:left w:val="nil"/>
              <w:bottom w:val="single" w:sz="4" w:space="0" w:color="auto"/>
              <w:right w:val="single" w:sz="4" w:space="0" w:color="auto"/>
            </w:tcBorders>
            <w:noWrap/>
            <w:vAlign w:val="bottom"/>
          </w:tcPr>
          <w:p w:rsidR="0022223F" w:rsidRPr="00A71BC9" w:rsidRDefault="0022223F" w:rsidP="00A71BC9">
            <w:pPr>
              <w:rPr>
                <w:color w:val="000000"/>
                <w:sz w:val="18"/>
                <w:szCs w:val="18"/>
                <w:lang w:eastAsia="en-GB"/>
              </w:rPr>
            </w:pPr>
            <w:r w:rsidRPr="00A71BC9">
              <w:rPr>
                <w:color w:val="000000"/>
                <w:sz w:val="18"/>
                <w:szCs w:val="18"/>
                <w:lang w:eastAsia="en-GB"/>
              </w:rPr>
              <w:t> </w:t>
            </w:r>
          </w:p>
        </w:tc>
      </w:tr>
      <w:tr w:rsidR="0022223F" w:rsidRPr="00A71BC9">
        <w:trPr>
          <w:trHeight w:val="285"/>
        </w:trPr>
        <w:tc>
          <w:tcPr>
            <w:tcW w:w="1241" w:type="dxa"/>
            <w:tcBorders>
              <w:top w:val="nil"/>
              <w:left w:val="single" w:sz="4" w:space="0" w:color="auto"/>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 </w:t>
            </w:r>
          </w:p>
        </w:tc>
        <w:tc>
          <w:tcPr>
            <w:tcW w:w="3859" w:type="dxa"/>
            <w:tcBorders>
              <w:top w:val="nil"/>
              <w:left w:val="nil"/>
              <w:bottom w:val="single" w:sz="4" w:space="0" w:color="auto"/>
              <w:right w:val="single" w:sz="4" w:space="0" w:color="auto"/>
            </w:tcBorders>
            <w:vAlign w:val="center"/>
          </w:tcPr>
          <w:p w:rsidR="0022223F" w:rsidRPr="00A71BC9" w:rsidRDefault="0022223F" w:rsidP="00A71BC9">
            <w:pPr>
              <w:rPr>
                <w:b/>
                <w:bCs/>
                <w:sz w:val="18"/>
                <w:szCs w:val="18"/>
                <w:lang w:eastAsia="en-GB"/>
              </w:rPr>
            </w:pPr>
            <w:r w:rsidRPr="00A71BC9">
              <w:rPr>
                <w:b/>
                <w:bCs/>
                <w:sz w:val="18"/>
                <w:szCs w:val="18"/>
                <w:lang w:eastAsia="en-GB"/>
              </w:rPr>
              <w:t>Adults Services</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rPr>
                <w:sz w:val="18"/>
                <w:szCs w:val="18"/>
                <w:lang w:eastAsia="en-GB"/>
              </w:rPr>
            </w:pPr>
            <w:r w:rsidRPr="00A71BC9">
              <w:rPr>
                <w:sz w:val="18"/>
                <w:szCs w:val="18"/>
                <w:lang w:eastAsia="en-GB"/>
              </w:rPr>
              <w:t> </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rPr>
                <w:sz w:val="18"/>
                <w:szCs w:val="18"/>
                <w:lang w:eastAsia="en-GB"/>
              </w:rPr>
            </w:pPr>
            <w:r w:rsidRPr="00A71BC9">
              <w:rPr>
                <w:sz w:val="18"/>
                <w:szCs w:val="18"/>
                <w:lang w:eastAsia="en-GB"/>
              </w:rPr>
              <w:t> </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rPr>
                <w:sz w:val="18"/>
                <w:szCs w:val="18"/>
                <w:lang w:eastAsia="en-GB"/>
              </w:rPr>
            </w:pPr>
            <w:r w:rsidRPr="00A71BC9">
              <w:rPr>
                <w:sz w:val="18"/>
                <w:szCs w:val="18"/>
                <w:lang w:eastAsia="en-GB"/>
              </w:rPr>
              <w:t> </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rPr>
                <w:sz w:val="18"/>
                <w:szCs w:val="18"/>
                <w:lang w:eastAsia="en-GB"/>
              </w:rPr>
            </w:pPr>
            <w:r w:rsidRPr="00A71BC9">
              <w:rPr>
                <w:sz w:val="18"/>
                <w:szCs w:val="18"/>
                <w:lang w:eastAsia="en-GB"/>
              </w:rPr>
              <w:t> </w:t>
            </w:r>
          </w:p>
        </w:tc>
        <w:tc>
          <w:tcPr>
            <w:tcW w:w="4640"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 </w:t>
            </w:r>
          </w:p>
        </w:tc>
      </w:tr>
      <w:tr w:rsidR="0022223F" w:rsidRPr="00A71BC9">
        <w:trPr>
          <w:trHeight w:val="2640"/>
        </w:trPr>
        <w:tc>
          <w:tcPr>
            <w:tcW w:w="1241" w:type="dxa"/>
            <w:tcBorders>
              <w:top w:val="nil"/>
              <w:left w:val="single" w:sz="4" w:space="0" w:color="auto"/>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CHW013</w:t>
            </w:r>
          </w:p>
        </w:tc>
        <w:tc>
          <w:tcPr>
            <w:tcW w:w="3859"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Contract Management - efficiencies</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-100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22223F" w:rsidRPr="00A71BC9" w:rsidRDefault="0022223F" w:rsidP="00A71BC9">
            <w:pPr>
              <w:rPr>
                <w:sz w:val="18"/>
                <w:szCs w:val="18"/>
                <w:lang w:eastAsia="en-GB"/>
              </w:rPr>
            </w:pPr>
            <w:r w:rsidRPr="00A71BC9">
              <w:rPr>
                <w:sz w:val="18"/>
                <w:szCs w:val="18"/>
                <w:lang w:eastAsia="en-GB"/>
              </w:rPr>
              <w:t>Green</w:t>
            </w:r>
          </w:p>
        </w:tc>
        <w:tc>
          <w:tcPr>
            <w:tcW w:w="4640"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Expected to be realised and will be evidenced by balanced Purchasing budget at year end.  However given the increases in referrals and costs associated with complexity of care, and forecast outturn variance this may be difficult to evidence.</w:t>
            </w:r>
            <w:r w:rsidRPr="00A71BC9">
              <w:rPr>
                <w:sz w:val="18"/>
                <w:szCs w:val="18"/>
                <w:lang w:eastAsia="en-GB"/>
              </w:rPr>
              <w:br/>
              <w:t>Potentially this will be delivered through:</w:t>
            </w:r>
            <w:r w:rsidRPr="00A71BC9">
              <w:rPr>
                <w:sz w:val="18"/>
                <w:szCs w:val="18"/>
                <w:lang w:eastAsia="en-GB"/>
              </w:rPr>
              <w:br/>
              <w:t>1) Managing inflation £500k</w:t>
            </w:r>
            <w:r w:rsidRPr="00A71BC9">
              <w:rPr>
                <w:sz w:val="18"/>
                <w:szCs w:val="18"/>
                <w:lang w:eastAsia="en-GB"/>
              </w:rPr>
              <w:br/>
              <w:t>2) Renegotiation of the supported accommodation contracts at Canning Rd / Parkside Way - £50k 14/15 (£100k full year effect)</w:t>
            </w:r>
          </w:p>
        </w:tc>
      </w:tr>
      <w:tr w:rsidR="0022223F" w:rsidRPr="00A71BC9">
        <w:trPr>
          <w:trHeight w:val="960"/>
        </w:trPr>
        <w:tc>
          <w:tcPr>
            <w:tcW w:w="1241" w:type="dxa"/>
            <w:tcBorders>
              <w:top w:val="nil"/>
              <w:left w:val="single" w:sz="4" w:space="0" w:color="auto"/>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CHW015</w:t>
            </w:r>
          </w:p>
        </w:tc>
        <w:tc>
          <w:tcPr>
            <w:tcW w:w="3859"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West London Alliance (WLA) Joint Procurement: Approved Provider Credition (APC) Residential Care</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-100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22223F" w:rsidRPr="00A71BC9" w:rsidRDefault="0022223F" w:rsidP="00A71BC9">
            <w:pPr>
              <w:rPr>
                <w:sz w:val="18"/>
                <w:szCs w:val="18"/>
                <w:lang w:eastAsia="en-GB"/>
              </w:rPr>
            </w:pPr>
            <w:r w:rsidRPr="00A71BC9">
              <w:rPr>
                <w:sz w:val="18"/>
                <w:szCs w:val="18"/>
                <w:lang w:eastAsia="en-GB"/>
              </w:rPr>
              <w:t>Green</w:t>
            </w:r>
          </w:p>
        </w:tc>
        <w:tc>
          <w:tcPr>
            <w:tcW w:w="4640"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Savings on target to be delivered.  Tracking of placements made through the West London Alliance (WLA) will evidence savings delivered throughout the year</w:t>
            </w:r>
          </w:p>
        </w:tc>
      </w:tr>
      <w:tr w:rsidR="0022223F" w:rsidRPr="00A71BC9">
        <w:trPr>
          <w:trHeight w:val="480"/>
        </w:trPr>
        <w:tc>
          <w:tcPr>
            <w:tcW w:w="1241" w:type="dxa"/>
            <w:tcBorders>
              <w:top w:val="nil"/>
              <w:left w:val="single" w:sz="4" w:space="0" w:color="auto"/>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CHW017</w:t>
            </w:r>
          </w:p>
        </w:tc>
        <w:tc>
          <w:tcPr>
            <w:tcW w:w="3859"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Voluntary Sector Funding. Reversal of 2012/13 growth</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-100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22223F" w:rsidRPr="00A71BC9" w:rsidRDefault="0022223F" w:rsidP="00A71BC9">
            <w:pPr>
              <w:rPr>
                <w:sz w:val="18"/>
                <w:szCs w:val="18"/>
                <w:lang w:eastAsia="en-GB"/>
              </w:rPr>
            </w:pPr>
            <w:r w:rsidRPr="00A71BC9">
              <w:rPr>
                <w:sz w:val="18"/>
                <w:szCs w:val="18"/>
                <w:lang w:eastAsia="en-GB"/>
              </w:rPr>
              <w:t>Green</w:t>
            </w:r>
          </w:p>
        </w:tc>
        <w:tc>
          <w:tcPr>
            <w:tcW w:w="4640"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Achieved</w:t>
            </w:r>
          </w:p>
        </w:tc>
      </w:tr>
      <w:tr w:rsidR="0022223F" w:rsidRPr="00A71BC9">
        <w:trPr>
          <w:trHeight w:val="285"/>
        </w:trPr>
        <w:tc>
          <w:tcPr>
            <w:tcW w:w="1241" w:type="dxa"/>
            <w:tcBorders>
              <w:top w:val="nil"/>
              <w:left w:val="single" w:sz="4" w:space="0" w:color="auto"/>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CHW018</w:t>
            </w:r>
          </w:p>
        </w:tc>
        <w:tc>
          <w:tcPr>
            <w:tcW w:w="3859"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Voluntary Sector Funding</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-200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22223F" w:rsidRPr="00A71BC9" w:rsidRDefault="0022223F" w:rsidP="00A71BC9">
            <w:pPr>
              <w:rPr>
                <w:sz w:val="18"/>
                <w:szCs w:val="18"/>
                <w:lang w:eastAsia="en-GB"/>
              </w:rPr>
            </w:pPr>
            <w:r w:rsidRPr="00A71BC9">
              <w:rPr>
                <w:sz w:val="18"/>
                <w:szCs w:val="18"/>
                <w:lang w:eastAsia="en-GB"/>
              </w:rPr>
              <w:t>Green</w:t>
            </w:r>
          </w:p>
        </w:tc>
        <w:tc>
          <w:tcPr>
            <w:tcW w:w="4640"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Achieved</w:t>
            </w:r>
          </w:p>
        </w:tc>
      </w:tr>
      <w:tr w:rsidR="0022223F" w:rsidRPr="00A71BC9">
        <w:trPr>
          <w:trHeight w:val="3600"/>
        </w:trPr>
        <w:tc>
          <w:tcPr>
            <w:tcW w:w="1241" w:type="dxa"/>
            <w:tcBorders>
              <w:top w:val="nil"/>
              <w:left w:val="single" w:sz="4" w:space="0" w:color="auto"/>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CHW019/20</w:t>
            </w:r>
          </w:p>
        </w:tc>
        <w:tc>
          <w:tcPr>
            <w:tcW w:w="3859"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Reduction in use of residential placements for the most complex, by investing in community placements.</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-1,500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single" w:sz="4" w:space="0" w:color="auto"/>
              <w:left w:val="single" w:sz="4" w:space="0" w:color="auto"/>
              <w:bottom w:val="single" w:sz="4" w:space="0" w:color="auto"/>
              <w:right w:val="single" w:sz="4" w:space="0" w:color="auto"/>
            </w:tcBorders>
            <w:shd w:val="clear" w:color="000000" w:fill="FFCC99"/>
            <w:noWrap/>
            <w:vAlign w:val="center"/>
          </w:tcPr>
          <w:p w:rsidR="0022223F" w:rsidRPr="00A71BC9" w:rsidRDefault="0022223F" w:rsidP="00A71BC9">
            <w:pPr>
              <w:rPr>
                <w:sz w:val="18"/>
                <w:szCs w:val="18"/>
                <w:lang w:eastAsia="en-GB"/>
              </w:rPr>
            </w:pPr>
            <w:r w:rsidRPr="00A71BC9">
              <w:rPr>
                <w:sz w:val="18"/>
                <w:szCs w:val="18"/>
                <w:lang w:eastAsia="en-GB"/>
              </w:rPr>
              <w:t>Amber</w:t>
            </w:r>
          </w:p>
        </w:tc>
        <w:tc>
          <w:tcPr>
            <w:tcW w:w="4640"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Plan developed and being monitored weekly.  Impact of increased volume of referrals and complexity of care required to support service users may impact the ability to fully deliver savings which were predicated on the basis of costs of care being provided at lower cost in the community.</w:t>
            </w:r>
            <w:r w:rsidRPr="00A71BC9">
              <w:rPr>
                <w:sz w:val="18"/>
                <w:szCs w:val="18"/>
                <w:lang w:eastAsia="en-GB"/>
              </w:rPr>
              <w:br/>
              <w:t>Anticipate savings being delivered through a mix of the following:</w:t>
            </w:r>
            <w:r w:rsidRPr="00A71BC9">
              <w:rPr>
                <w:sz w:val="18"/>
                <w:szCs w:val="18"/>
                <w:lang w:eastAsia="en-GB"/>
              </w:rPr>
              <w:br/>
              <w:t xml:space="preserve">1) Moves to sheltered accommodation </w:t>
            </w:r>
            <w:r w:rsidRPr="00A71BC9">
              <w:rPr>
                <w:sz w:val="18"/>
                <w:szCs w:val="18"/>
                <w:lang w:eastAsia="en-GB"/>
              </w:rPr>
              <w:br/>
              <w:t xml:space="preserve">2) Towards Independence (Shared lives) </w:t>
            </w:r>
            <w:r w:rsidRPr="00A71BC9">
              <w:rPr>
                <w:sz w:val="18"/>
                <w:szCs w:val="18"/>
                <w:lang w:eastAsia="en-GB"/>
              </w:rPr>
              <w:br/>
              <w:t xml:space="preserve">3) Increased community placements </w:t>
            </w:r>
            <w:r w:rsidRPr="00A71BC9">
              <w:rPr>
                <w:sz w:val="18"/>
                <w:szCs w:val="18"/>
                <w:lang w:eastAsia="en-GB"/>
              </w:rPr>
              <w:br/>
              <w:t>4) Management of Ordinary Residence and appropriate reviews of health cases</w:t>
            </w:r>
            <w:r w:rsidRPr="00A71BC9">
              <w:rPr>
                <w:sz w:val="18"/>
                <w:szCs w:val="18"/>
                <w:lang w:eastAsia="en-GB"/>
              </w:rPr>
              <w:br/>
              <w:t xml:space="preserve">5) Managing inflation (via WLA) to assist delivery of MTFS £500k </w:t>
            </w:r>
          </w:p>
        </w:tc>
      </w:tr>
      <w:tr w:rsidR="0022223F" w:rsidRPr="00A71BC9">
        <w:trPr>
          <w:trHeight w:val="285"/>
        </w:trPr>
        <w:tc>
          <w:tcPr>
            <w:tcW w:w="1241" w:type="dxa"/>
            <w:tcBorders>
              <w:top w:val="nil"/>
              <w:left w:val="single" w:sz="4" w:space="0" w:color="auto"/>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CHW021</w:t>
            </w:r>
          </w:p>
        </w:tc>
        <w:tc>
          <w:tcPr>
            <w:tcW w:w="3859"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Day Care Strategic Review</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-300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22223F" w:rsidRPr="00A71BC9" w:rsidRDefault="0022223F" w:rsidP="00A71BC9">
            <w:pPr>
              <w:rPr>
                <w:sz w:val="18"/>
                <w:szCs w:val="18"/>
                <w:lang w:eastAsia="en-GB"/>
              </w:rPr>
            </w:pPr>
            <w:r w:rsidRPr="00A71BC9">
              <w:rPr>
                <w:sz w:val="18"/>
                <w:szCs w:val="18"/>
                <w:lang w:eastAsia="en-GB"/>
              </w:rPr>
              <w:t>Green</w:t>
            </w:r>
          </w:p>
        </w:tc>
        <w:tc>
          <w:tcPr>
            <w:tcW w:w="4640"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savings on target to be delivered</w:t>
            </w:r>
          </w:p>
        </w:tc>
      </w:tr>
      <w:tr w:rsidR="0022223F" w:rsidRPr="00A71BC9">
        <w:trPr>
          <w:trHeight w:val="3120"/>
        </w:trPr>
        <w:tc>
          <w:tcPr>
            <w:tcW w:w="1241" w:type="dxa"/>
            <w:tcBorders>
              <w:top w:val="nil"/>
              <w:left w:val="single" w:sz="4" w:space="0" w:color="auto"/>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CHW022</w:t>
            </w:r>
          </w:p>
        </w:tc>
        <w:tc>
          <w:tcPr>
            <w:tcW w:w="3859"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Purchasing Budget [community based efficiencies].  Market development providing greater choice in services leading to reductions in cost.</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-1,000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single" w:sz="4" w:space="0" w:color="auto"/>
              <w:left w:val="single" w:sz="4" w:space="0" w:color="auto"/>
              <w:bottom w:val="single" w:sz="4" w:space="0" w:color="auto"/>
              <w:right w:val="single" w:sz="4" w:space="0" w:color="auto"/>
            </w:tcBorders>
            <w:shd w:val="clear" w:color="000000" w:fill="FFCC99"/>
            <w:noWrap/>
            <w:vAlign w:val="center"/>
          </w:tcPr>
          <w:p w:rsidR="0022223F" w:rsidRPr="00A71BC9" w:rsidRDefault="0022223F" w:rsidP="00A71BC9">
            <w:pPr>
              <w:rPr>
                <w:sz w:val="18"/>
                <w:szCs w:val="18"/>
                <w:lang w:eastAsia="en-GB"/>
              </w:rPr>
            </w:pPr>
            <w:r w:rsidRPr="00A71BC9">
              <w:rPr>
                <w:sz w:val="18"/>
                <w:szCs w:val="18"/>
                <w:lang w:eastAsia="en-GB"/>
              </w:rPr>
              <w:t>Amber</w:t>
            </w:r>
          </w:p>
        </w:tc>
        <w:tc>
          <w:tcPr>
            <w:tcW w:w="4640"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 xml:space="preserve">Plan developed and being monitored weekly.  Latest evidence indicates that the some of the costs of complex care provided in the community are more costly than originally estimated.   </w:t>
            </w:r>
            <w:r w:rsidRPr="00A71BC9">
              <w:rPr>
                <w:sz w:val="18"/>
                <w:szCs w:val="18"/>
                <w:lang w:eastAsia="en-GB"/>
              </w:rPr>
              <w:br/>
              <w:t>Anticipate savings being delivered through a mix of the following:</w:t>
            </w:r>
            <w:r w:rsidRPr="00A71BC9">
              <w:rPr>
                <w:sz w:val="18"/>
                <w:szCs w:val="18"/>
                <w:lang w:eastAsia="en-GB"/>
              </w:rPr>
              <w:br/>
              <w:t>1) PB clawback</w:t>
            </w:r>
            <w:r w:rsidRPr="00A71BC9">
              <w:rPr>
                <w:sz w:val="18"/>
                <w:szCs w:val="18"/>
                <w:lang w:eastAsia="en-GB"/>
              </w:rPr>
              <w:br/>
              <w:t>2) External day care converted to PB's</w:t>
            </w:r>
            <w:r w:rsidRPr="00A71BC9">
              <w:rPr>
                <w:sz w:val="18"/>
                <w:szCs w:val="18"/>
                <w:lang w:eastAsia="en-GB"/>
              </w:rPr>
              <w:br/>
              <w:t>3) Home Care 2 project</w:t>
            </w:r>
            <w:r w:rsidRPr="00A71BC9">
              <w:rPr>
                <w:sz w:val="18"/>
                <w:szCs w:val="18"/>
                <w:lang w:eastAsia="en-GB"/>
              </w:rPr>
              <w:br/>
              <w:t xml:space="preserve">4) Market development (10%) resulting in increased choice and therefore lower costs </w:t>
            </w:r>
            <w:r w:rsidRPr="00A71BC9">
              <w:rPr>
                <w:sz w:val="18"/>
                <w:szCs w:val="18"/>
                <w:lang w:eastAsia="en-GB"/>
              </w:rPr>
              <w:br/>
              <w:t>5) Top 50 community packages</w:t>
            </w:r>
            <w:r w:rsidRPr="00A71BC9">
              <w:rPr>
                <w:sz w:val="18"/>
                <w:szCs w:val="18"/>
                <w:lang w:eastAsia="en-GB"/>
              </w:rPr>
              <w:br/>
              <w:t xml:space="preserve">6) Innovative care solutions i.e. CSV </w:t>
            </w:r>
          </w:p>
        </w:tc>
      </w:tr>
      <w:tr w:rsidR="0022223F" w:rsidRPr="00A71BC9">
        <w:trPr>
          <w:trHeight w:val="960"/>
        </w:trPr>
        <w:tc>
          <w:tcPr>
            <w:tcW w:w="1241" w:type="dxa"/>
            <w:tcBorders>
              <w:top w:val="nil"/>
              <w:left w:val="single" w:sz="4" w:space="0" w:color="auto"/>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CHW023</w:t>
            </w:r>
          </w:p>
        </w:tc>
        <w:tc>
          <w:tcPr>
            <w:tcW w:w="3859"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Commissioning Staff.  Review of staffing structures.</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-300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single" w:sz="4" w:space="0" w:color="auto"/>
              <w:left w:val="single" w:sz="4" w:space="0" w:color="auto"/>
              <w:bottom w:val="single" w:sz="4" w:space="0" w:color="auto"/>
              <w:right w:val="single" w:sz="4" w:space="0" w:color="auto"/>
            </w:tcBorders>
            <w:shd w:val="clear" w:color="000000" w:fill="FFCC99"/>
            <w:noWrap/>
            <w:vAlign w:val="center"/>
          </w:tcPr>
          <w:p w:rsidR="0022223F" w:rsidRPr="00A71BC9" w:rsidRDefault="0022223F" w:rsidP="00A71BC9">
            <w:pPr>
              <w:rPr>
                <w:sz w:val="18"/>
                <w:szCs w:val="18"/>
                <w:lang w:eastAsia="en-GB"/>
              </w:rPr>
            </w:pPr>
            <w:r w:rsidRPr="00A71BC9">
              <w:rPr>
                <w:sz w:val="18"/>
                <w:szCs w:val="18"/>
                <w:lang w:eastAsia="en-GB"/>
              </w:rPr>
              <w:t>Amber</w:t>
            </w:r>
          </w:p>
        </w:tc>
        <w:tc>
          <w:tcPr>
            <w:tcW w:w="4640"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Restructure in progress and expected to be fully implemented by 1/12/14.  Impact of delay in implementing will be compensated by variations on other budgets</w:t>
            </w:r>
          </w:p>
        </w:tc>
      </w:tr>
      <w:tr w:rsidR="0022223F" w:rsidRPr="00A71BC9">
        <w:trPr>
          <w:trHeight w:val="1920"/>
        </w:trPr>
        <w:tc>
          <w:tcPr>
            <w:tcW w:w="1241" w:type="dxa"/>
            <w:tcBorders>
              <w:top w:val="nil"/>
              <w:left w:val="single" w:sz="4" w:space="0" w:color="auto"/>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CHW024</w:t>
            </w:r>
          </w:p>
        </w:tc>
        <w:tc>
          <w:tcPr>
            <w:tcW w:w="3859"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 xml:space="preserve">Share Complaints team with another local authority and/ or aggregate within Council.  Originally intended theses savings would be delivered through a shared service approach which will continue to be explored but may be accommodated within wider staff changes as appropriate to deliver the savings.  </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-104</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22223F" w:rsidRPr="00A71BC9" w:rsidRDefault="0022223F" w:rsidP="00A71BC9">
            <w:pPr>
              <w:rPr>
                <w:sz w:val="18"/>
                <w:szCs w:val="18"/>
                <w:lang w:eastAsia="en-GB"/>
              </w:rPr>
            </w:pPr>
            <w:r w:rsidRPr="00A71BC9">
              <w:rPr>
                <w:sz w:val="18"/>
                <w:szCs w:val="18"/>
                <w:lang w:eastAsia="en-GB"/>
              </w:rPr>
              <w:t>Green</w:t>
            </w:r>
          </w:p>
        </w:tc>
        <w:tc>
          <w:tcPr>
            <w:tcW w:w="4640"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Achieved and delivered</w:t>
            </w:r>
          </w:p>
        </w:tc>
      </w:tr>
      <w:tr w:rsidR="0022223F" w:rsidRPr="00A71BC9">
        <w:trPr>
          <w:trHeight w:val="1680"/>
        </w:trPr>
        <w:tc>
          <w:tcPr>
            <w:tcW w:w="1241" w:type="dxa"/>
            <w:tcBorders>
              <w:top w:val="nil"/>
              <w:left w:val="single" w:sz="4" w:space="0" w:color="auto"/>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CHW025</w:t>
            </w:r>
          </w:p>
        </w:tc>
        <w:tc>
          <w:tcPr>
            <w:tcW w:w="3859"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 xml:space="preserve">Sharing of Joint Assessment Team with another local authority. Originally intended these savings would be delivered through a shared service approach which will continue to be explored but may be accommodated within wider staff changes as appropriate to deliver the savings. </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-93</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22223F" w:rsidRPr="00A71BC9" w:rsidRDefault="0022223F" w:rsidP="00A71BC9">
            <w:pPr>
              <w:rPr>
                <w:sz w:val="18"/>
                <w:szCs w:val="18"/>
                <w:lang w:eastAsia="en-GB"/>
              </w:rPr>
            </w:pPr>
            <w:r w:rsidRPr="00A71BC9">
              <w:rPr>
                <w:sz w:val="18"/>
                <w:szCs w:val="18"/>
                <w:lang w:eastAsia="en-GB"/>
              </w:rPr>
              <w:t>Green</w:t>
            </w:r>
          </w:p>
        </w:tc>
        <w:tc>
          <w:tcPr>
            <w:tcW w:w="4640"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Assumed £50k delivered via charges for managing client finances, although latest indications suggest that compensatory savings may necessary to fully deliver saving.  Restructure in progress and expected to be fully implemented by 1/12/14</w:t>
            </w:r>
          </w:p>
        </w:tc>
      </w:tr>
      <w:tr w:rsidR="0022223F" w:rsidRPr="00A71BC9">
        <w:trPr>
          <w:trHeight w:val="480"/>
        </w:trPr>
        <w:tc>
          <w:tcPr>
            <w:tcW w:w="1241" w:type="dxa"/>
            <w:tcBorders>
              <w:top w:val="nil"/>
              <w:left w:val="single" w:sz="4" w:space="0" w:color="auto"/>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CHW028</w:t>
            </w:r>
          </w:p>
        </w:tc>
        <w:tc>
          <w:tcPr>
            <w:tcW w:w="3859"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Supporting People - targeted efficiency savings through specific contracts</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-1,324</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22223F" w:rsidRPr="00A71BC9" w:rsidRDefault="0022223F" w:rsidP="00A71BC9">
            <w:pPr>
              <w:rPr>
                <w:sz w:val="18"/>
                <w:szCs w:val="18"/>
                <w:lang w:eastAsia="en-GB"/>
              </w:rPr>
            </w:pPr>
            <w:r w:rsidRPr="00A71BC9">
              <w:rPr>
                <w:sz w:val="18"/>
                <w:szCs w:val="18"/>
                <w:lang w:eastAsia="en-GB"/>
              </w:rPr>
              <w:t>Green</w:t>
            </w:r>
          </w:p>
        </w:tc>
        <w:tc>
          <w:tcPr>
            <w:tcW w:w="4640"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Savings fully delivered through efficiencies and renegotiated contracts</w:t>
            </w:r>
          </w:p>
        </w:tc>
      </w:tr>
      <w:tr w:rsidR="0022223F" w:rsidRPr="00A71BC9">
        <w:trPr>
          <w:trHeight w:val="480"/>
        </w:trPr>
        <w:tc>
          <w:tcPr>
            <w:tcW w:w="1241" w:type="dxa"/>
            <w:tcBorders>
              <w:top w:val="nil"/>
              <w:left w:val="single" w:sz="4" w:space="0" w:color="auto"/>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CHW032</w:t>
            </w:r>
          </w:p>
        </w:tc>
        <w:tc>
          <w:tcPr>
            <w:tcW w:w="3859"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Meals on Wheels.  Review options for service provision.</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-190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22223F" w:rsidRPr="00A71BC9" w:rsidRDefault="0022223F" w:rsidP="00A71BC9">
            <w:pPr>
              <w:rPr>
                <w:sz w:val="18"/>
                <w:szCs w:val="18"/>
                <w:lang w:eastAsia="en-GB"/>
              </w:rPr>
            </w:pPr>
            <w:r w:rsidRPr="00A71BC9">
              <w:rPr>
                <w:sz w:val="18"/>
                <w:szCs w:val="18"/>
                <w:lang w:eastAsia="en-GB"/>
              </w:rPr>
              <w:t>Green</w:t>
            </w:r>
          </w:p>
        </w:tc>
        <w:tc>
          <w:tcPr>
            <w:tcW w:w="4640"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Plans in place. Ongoing monitoring will evidence achievement of savings as per plan.</w:t>
            </w:r>
          </w:p>
        </w:tc>
      </w:tr>
      <w:tr w:rsidR="0022223F" w:rsidRPr="00A71BC9">
        <w:trPr>
          <w:trHeight w:val="285"/>
        </w:trPr>
        <w:tc>
          <w:tcPr>
            <w:tcW w:w="1241" w:type="dxa"/>
            <w:tcBorders>
              <w:top w:val="nil"/>
              <w:left w:val="single" w:sz="4" w:space="0" w:color="auto"/>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 </w:t>
            </w:r>
          </w:p>
        </w:tc>
        <w:tc>
          <w:tcPr>
            <w:tcW w:w="3859" w:type="dxa"/>
            <w:tcBorders>
              <w:top w:val="nil"/>
              <w:left w:val="nil"/>
              <w:bottom w:val="single" w:sz="4" w:space="0" w:color="auto"/>
              <w:right w:val="single" w:sz="4" w:space="0" w:color="auto"/>
            </w:tcBorders>
            <w:shd w:val="clear" w:color="000000" w:fill="C0C0C0"/>
            <w:vAlign w:val="center"/>
          </w:tcPr>
          <w:p w:rsidR="0022223F" w:rsidRPr="00A71BC9" w:rsidRDefault="0022223F" w:rsidP="00A71BC9">
            <w:pPr>
              <w:rPr>
                <w:b/>
                <w:bCs/>
                <w:sz w:val="18"/>
                <w:szCs w:val="18"/>
                <w:lang w:eastAsia="en-GB"/>
              </w:rPr>
            </w:pPr>
            <w:r w:rsidRPr="00A71BC9">
              <w:rPr>
                <w:b/>
                <w:bCs/>
                <w:sz w:val="18"/>
                <w:szCs w:val="18"/>
                <w:lang w:eastAsia="en-GB"/>
              </w:rPr>
              <w:t>Total Adults Savings</w:t>
            </w:r>
          </w:p>
        </w:tc>
        <w:tc>
          <w:tcPr>
            <w:tcW w:w="1080" w:type="dxa"/>
            <w:tcBorders>
              <w:top w:val="nil"/>
              <w:left w:val="nil"/>
              <w:bottom w:val="single" w:sz="4" w:space="0" w:color="auto"/>
              <w:right w:val="single" w:sz="4" w:space="0" w:color="auto"/>
            </w:tcBorders>
            <w:shd w:val="clear" w:color="000000" w:fill="C0C0C0"/>
            <w:vAlign w:val="center"/>
          </w:tcPr>
          <w:p w:rsidR="0022223F" w:rsidRPr="00A71BC9" w:rsidRDefault="0022223F" w:rsidP="00A71BC9">
            <w:pPr>
              <w:jc w:val="right"/>
              <w:rPr>
                <w:b/>
                <w:bCs/>
                <w:sz w:val="18"/>
                <w:szCs w:val="18"/>
                <w:lang w:eastAsia="en-GB"/>
              </w:rPr>
            </w:pPr>
            <w:r w:rsidRPr="00A71BC9">
              <w:rPr>
                <w:b/>
                <w:bCs/>
                <w:sz w:val="18"/>
                <w:szCs w:val="18"/>
                <w:lang w:eastAsia="en-GB"/>
              </w:rPr>
              <w:t>-5,311</w:t>
            </w:r>
          </w:p>
        </w:tc>
        <w:tc>
          <w:tcPr>
            <w:tcW w:w="1080" w:type="dxa"/>
            <w:tcBorders>
              <w:top w:val="nil"/>
              <w:left w:val="nil"/>
              <w:bottom w:val="single" w:sz="4" w:space="0" w:color="auto"/>
              <w:right w:val="single" w:sz="4" w:space="0" w:color="auto"/>
            </w:tcBorders>
            <w:shd w:val="clear" w:color="000000" w:fill="C0C0C0"/>
            <w:vAlign w:val="center"/>
          </w:tcPr>
          <w:p w:rsidR="0022223F" w:rsidRPr="00A71BC9" w:rsidRDefault="0022223F" w:rsidP="00A71BC9">
            <w:pPr>
              <w:jc w:val="right"/>
              <w:rPr>
                <w:b/>
                <w:bCs/>
                <w:sz w:val="18"/>
                <w:szCs w:val="18"/>
                <w:lang w:eastAsia="en-GB"/>
              </w:rPr>
            </w:pPr>
            <w:r w:rsidRPr="00A71BC9">
              <w:rPr>
                <w:b/>
                <w:bCs/>
                <w:sz w:val="18"/>
                <w:szCs w:val="18"/>
                <w:lang w:eastAsia="en-GB"/>
              </w:rPr>
              <w:t>0</w:t>
            </w:r>
          </w:p>
        </w:tc>
        <w:tc>
          <w:tcPr>
            <w:tcW w:w="1080" w:type="dxa"/>
            <w:tcBorders>
              <w:top w:val="nil"/>
              <w:left w:val="nil"/>
              <w:bottom w:val="single" w:sz="4" w:space="0" w:color="auto"/>
              <w:right w:val="single" w:sz="4" w:space="0" w:color="auto"/>
            </w:tcBorders>
            <w:shd w:val="clear" w:color="000000" w:fill="C0C0C0"/>
            <w:vAlign w:val="center"/>
          </w:tcPr>
          <w:p w:rsidR="0022223F" w:rsidRPr="00A71BC9" w:rsidRDefault="0022223F" w:rsidP="00A71BC9">
            <w:pPr>
              <w:jc w:val="right"/>
              <w:rPr>
                <w:b/>
                <w:bCs/>
                <w:sz w:val="18"/>
                <w:szCs w:val="18"/>
                <w:lang w:eastAsia="en-GB"/>
              </w:rPr>
            </w:pPr>
            <w:r w:rsidRPr="00A71BC9">
              <w:rPr>
                <w:b/>
                <w:bCs/>
                <w:sz w:val="18"/>
                <w:szCs w:val="18"/>
                <w:lang w:eastAsia="en-GB"/>
              </w:rPr>
              <w:t>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rPr>
                <w:sz w:val="18"/>
                <w:szCs w:val="18"/>
                <w:lang w:eastAsia="en-GB"/>
              </w:rPr>
            </w:pPr>
            <w:r w:rsidRPr="00A71BC9">
              <w:rPr>
                <w:sz w:val="18"/>
                <w:szCs w:val="18"/>
                <w:lang w:eastAsia="en-GB"/>
              </w:rPr>
              <w:t> </w:t>
            </w:r>
          </w:p>
        </w:tc>
        <w:tc>
          <w:tcPr>
            <w:tcW w:w="4640"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 </w:t>
            </w:r>
          </w:p>
        </w:tc>
      </w:tr>
      <w:tr w:rsidR="0022223F" w:rsidRPr="00A71BC9">
        <w:trPr>
          <w:trHeight w:val="285"/>
        </w:trPr>
        <w:tc>
          <w:tcPr>
            <w:tcW w:w="1241" w:type="dxa"/>
            <w:tcBorders>
              <w:top w:val="nil"/>
              <w:left w:val="single" w:sz="4" w:space="0" w:color="auto"/>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 </w:t>
            </w:r>
          </w:p>
        </w:tc>
        <w:tc>
          <w:tcPr>
            <w:tcW w:w="3859" w:type="dxa"/>
            <w:tcBorders>
              <w:top w:val="nil"/>
              <w:left w:val="nil"/>
              <w:bottom w:val="single" w:sz="4" w:space="0" w:color="auto"/>
              <w:right w:val="single" w:sz="4" w:space="0" w:color="auto"/>
            </w:tcBorders>
            <w:vAlign w:val="center"/>
          </w:tcPr>
          <w:p w:rsidR="0022223F" w:rsidRPr="00A71BC9" w:rsidRDefault="0022223F" w:rsidP="00A71BC9">
            <w:pPr>
              <w:rPr>
                <w:b/>
                <w:bCs/>
                <w:sz w:val="18"/>
                <w:szCs w:val="18"/>
                <w:lang w:eastAsia="en-GB"/>
              </w:rPr>
            </w:pPr>
            <w:r w:rsidRPr="00A71BC9">
              <w:rPr>
                <w:b/>
                <w:bCs/>
                <w:sz w:val="18"/>
                <w:szCs w:val="18"/>
                <w:lang w:eastAsia="en-GB"/>
              </w:rPr>
              <w:t>Housing</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rPr>
                <w:sz w:val="18"/>
                <w:szCs w:val="18"/>
                <w:lang w:eastAsia="en-GB"/>
              </w:rPr>
            </w:pPr>
            <w:r w:rsidRPr="00A71BC9">
              <w:rPr>
                <w:sz w:val="18"/>
                <w:szCs w:val="18"/>
                <w:lang w:eastAsia="en-GB"/>
              </w:rPr>
              <w:t> </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rPr>
                <w:sz w:val="18"/>
                <w:szCs w:val="18"/>
                <w:lang w:eastAsia="en-GB"/>
              </w:rPr>
            </w:pPr>
            <w:r w:rsidRPr="00A71BC9">
              <w:rPr>
                <w:sz w:val="18"/>
                <w:szCs w:val="18"/>
                <w:lang w:eastAsia="en-GB"/>
              </w:rPr>
              <w:t> </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rPr>
                <w:sz w:val="18"/>
                <w:szCs w:val="18"/>
                <w:lang w:eastAsia="en-GB"/>
              </w:rPr>
            </w:pPr>
            <w:r w:rsidRPr="00A71BC9">
              <w:rPr>
                <w:sz w:val="18"/>
                <w:szCs w:val="18"/>
                <w:lang w:eastAsia="en-GB"/>
              </w:rPr>
              <w:t> </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rPr>
                <w:sz w:val="18"/>
                <w:szCs w:val="18"/>
                <w:lang w:eastAsia="en-GB"/>
              </w:rPr>
            </w:pPr>
            <w:r w:rsidRPr="00A71BC9">
              <w:rPr>
                <w:sz w:val="18"/>
                <w:szCs w:val="18"/>
                <w:lang w:eastAsia="en-GB"/>
              </w:rPr>
              <w:t> </w:t>
            </w:r>
          </w:p>
        </w:tc>
        <w:tc>
          <w:tcPr>
            <w:tcW w:w="4640"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 </w:t>
            </w:r>
          </w:p>
        </w:tc>
      </w:tr>
      <w:tr w:rsidR="0022223F" w:rsidRPr="00A71BC9">
        <w:trPr>
          <w:trHeight w:val="3360"/>
        </w:trPr>
        <w:tc>
          <w:tcPr>
            <w:tcW w:w="1241" w:type="dxa"/>
            <w:tcBorders>
              <w:top w:val="nil"/>
              <w:left w:val="single" w:sz="4" w:space="0" w:color="auto"/>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CHW004</w:t>
            </w:r>
          </w:p>
        </w:tc>
        <w:tc>
          <w:tcPr>
            <w:tcW w:w="3859"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Homelessness [100 families &amp; anticipated B&amp;B HB changes).  Savings from 2012-13 MTFS assumed to arise from increased subsidy for B&amp;B placements which did not actually materialise.</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-100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single" w:sz="4" w:space="0" w:color="auto"/>
              <w:left w:val="single" w:sz="4" w:space="0" w:color="auto"/>
              <w:bottom w:val="single" w:sz="4" w:space="0" w:color="auto"/>
              <w:right w:val="single" w:sz="4" w:space="0" w:color="auto"/>
            </w:tcBorders>
            <w:shd w:val="clear" w:color="000000" w:fill="FF99CC"/>
            <w:noWrap/>
            <w:vAlign w:val="center"/>
          </w:tcPr>
          <w:p w:rsidR="0022223F" w:rsidRPr="00A71BC9" w:rsidRDefault="0022223F" w:rsidP="00A71BC9">
            <w:pPr>
              <w:rPr>
                <w:sz w:val="18"/>
                <w:szCs w:val="18"/>
                <w:lang w:eastAsia="en-GB"/>
              </w:rPr>
            </w:pPr>
            <w:r w:rsidRPr="00A71BC9">
              <w:rPr>
                <w:sz w:val="18"/>
                <w:szCs w:val="18"/>
                <w:lang w:eastAsia="en-GB"/>
              </w:rPr>
              <w:t>Red</w:t>
            </w:r>
          </w:p>
        </w:tc>
        <w:tc>
          <w:tcPr>
            <w:tcW w:w="4640"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A review of activity levels during 2013-14 showed some 30 families were provided with accommodation, thereby avoiding the requirement to use B&amp;B. This resulted in the achievement of B&amp;B savings for 2013-14. The same review however identified extraordinary growth for temporary accommodation over and above that anticipated at the time of budget construction due primarily to uncertainties around the timing and content of the Government's Welfare Reforms. Although a number of initiatives to mitigate the cost of B&amp;B are being considered, political ascent is required before they are reported and implemented. The same applies to CHW047 below.</w:t>
            </w:r>
          </w:p>
        </w:tc>
      </w:tr>
      <w:tr w:rsidR="0022223F" w:rsidRPr="00A71BC9">
        <w:trPr>
          <w:trHeight w:val="480"/>
        </w:trPr>
        <w:tc>
          <w:tcPr>
            <w:tcW w:w="1241" w:type="dxa"/>
            <w:tcBorders>
              <w:top w:val="nil"/>
              <w:left w:val="single" w:sz="4" w:space="0" w:color="auto"/>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CHW037</w:t>
            </w:r>
          </w:p>
        </w:tc>
        <w:tc>
          <w:tcPr>
            <w:tcW w:w="3859"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Housing Needs - Private Sector Leasing Scheme.  Income generation</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-25</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single" w:sz="4" w:space="0" w:color="auto"/>
              <w:left w:val="single" w:sz="4" w:space="0" w:color="auto"/>
              <w:bottom w:val="single" w:sz="4" w:space="0" w:color="auto"/>
              <w:right w:val="single" w:sz="4" w:space="0" w:color="auto"/>
            </w:tcBorders>
            <w:shd w:val="clear" w:color="000000" w:fill="FFCC99"/>
            <w:noWrap/>
            <w:vAlign w:val="center"/>
          </w:tcPr>
          <w:p w:rsidR="0022223F" w:rsidRPr="00A71BC9" w:rsidRDefault="0022223F" w:rsidP="00A71BC9">
            <w:pPr>
              <w:rPr>
                <w:sz w:val="18"/>
                <w:szCs w:val="18"/>
                <w:lang w:eastAsia="en-GB"/>
              </w:rPr>
            </w:pPr>
            <w:r w:rsidRPr="00A71BC9">
              <w:rPr>
                <w:sz w:val="18"/>
                <w:szCs w:val="18"/>
                <w:lang w:eastAsia="en-GB"/>
              </w:rPr>
              <w:t>Amber</w:t>
            </w:r>
          </w:p>
        </w:tc>
        <w:tc>
          <w:tcPr>
            <w:tcW w:w="4640"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Considered achievable at this stage</w:t>
            </w:r>
          </w:p>
        </w:tc>
      </w:tr>
      <w:tr w:rsidR="0022223F" w:rsidRPr="00A71BC9">
        <w:trPr>
          <w:trHeight w:val="480"/>
        </w:trPr>
        <w:tc>
          <w:tcPr>
            <w:tcW w:w="1241" w:type="dxa"/>
            <w:tcBorders>
              <w:top w:val="nil"/>
              <w:left w:val="single" w:sz="4" w:space="0" w:color="auto"/>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CHW038</w:t>
            </w:r>
          </w:p>
        </w:tc>
        <w:tc>
          <w:tcPr>
            <w:tcW w:w="3859"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Housing Service Efficiency Review.  Saving in staffing costs</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-70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22223F" w:rsidRPr="00A71BC9" w:rsidRDefault="0022223F" w:rsidP="00A71BC9">
            <w:pPr>
              <w:rPr>
                <w:sz w:val="18"/>
                <w:szCs w:val="18"/>
                <w:lang w:eastAsia="en-GB"/>
              </w:rPr>
            </w:pPr>
            <w:r w:rsidRPr="00A71BC9">
              <w:rPr>
                <w:sz w:val="18"/>
                <w:szCs w:val="18"/>
                <w:lang w:eastAsia="en-GB"/>
              </w:rPr>
              <w:t>Green</w:t>
            </w:r>
          </w:p>
        </w:tc>
        <w:tc>
          <w:tcPr>
            <w:tcW w:w="4640"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On target</w:t>
            </w:r>
          </w:p>
        </w:tc>
      </w:tr>
      <w:tr w:rsidR="0022223F" w:rsidRPr="00A71BC9">
        <w:trPr>
          <w:trHeight w:val="960"/>
        </w:trPr>
        <w:tc>
          <w:tcPr>
            <w:tcW w:w="1241" w:type="dxa"/>
            <w:tcBorders>
              <w:top w:val="nil"/>
              <w:left w:val="single" w:sz="4" w:space="0" w:color="auto"/>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CHW041</w:t>
            </w:r>
          </w:p>
        </w:tc>
        <w:tc>
          <w:tcPr>
            <w:tcW w:w="3859"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Invest to Save - cash incentives.  Used to free up HRA properties to house families from the waiting list. Savings result from reduced B&amp;B expenditure.</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-48</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22223F" w:rsidRPr="00A71BC9" w:rsidRDefault="0022223F" w:rsidP="00A71BC9">
            <w:pPr>
              <w:rPr>
                <w:sz w:val="18"/>
                <w:szCs w:val="18"/>
                <w:lang w:eastAsia="en-GB"/>
              </w:rPr>
            </w:pPr>
            <w:r w:rsidRPr="00A71BC9">
              <w:rPr>
                <w:sz w:val="18"/>
                <w:szCs w:val="18"/>
                <w:lang w:eastAsia="en-GB"/>
              </w:rPr>
              <w:t>Green</w:t>
            </w:r>
          </w:p>
        </w:tc>
        <w:tc>
          <w:tcPr>
            <w:tcW w:w="4640"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On target</w:t>
            </w:r>
          </w:p>
        </w:tc>
      </w:tr>
      <w:tr w:rsidR="0022223F" w:rsidRPr="00A71BC9">
        <w:trPr>
          <w:trHeight w:val="960"/>
        </w:trPr>
        <w:tc>
          <w:tcPr>
            <w:tcW w:w="1241" w:type="dxa"/>
            <w:tcBorders>
              <w:top w:val="nil"/>
              <w:left w:val="single" w:sz="4" w:space="0" w:color="auto"/>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CHW047</w:t>
            </w:r>
          </w:p>
        </w:tc>
        <w:tc>
          <w:tcPr>
            <w:tcW w:w="3859"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Empty Homes Initiative. Reduced cost of temporary accommodation as a result of bringing empty properties back into use.</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-300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22223F" w:rsidRPr="00A71BC9" w:rsidRDefault="0022223F" w:rsidP="00A71BC9">
            <w:pPr>
              <w:rPr>
                <w:sz w:val="18"/>
                <w:szCs w:val="18"/>
                <w:lang w:eastAsia="en-GB"/>
              </w:rPr>
            </w:pPr>
            <w:r w:rsidRPr="00A71BC9">
              <w:rPr>
                <w:sz w:val="18"/>
                <w:szCs w:val="18"/>
                <w:lang w:eastAsia="en-GB"/>
              </w:rPr>
              <w:t>Green</w:t>
            </w:r>
          </w:p>
        </w:tc>
        <w:tc>
          <w:tcPr>
            <w:tcW w:w="4640"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Expenditure on B&amp;B has been reduced as a result of the empty home initiative. The extraordinary growth in families seeking temporary accommodation has however obscured the achievement of this saving.</w:t>
            </w:r>
          </w:p>
        </w:tc>
      </w:tr>
      <w:tr w:rsidR="0022223F" w:rsidRPr="00A71BC9">
        <w:trPr>
          <w:trHeight w:val="285"/>
        </w:trPr>
        <w:tc>
          <w:tcPr>
            <w:tcW w:w="1241" w:type="dxa"/>
            <w:tcBorders>
              <w:top w:val="nil"/>
              <w:left w:val="single" w:sz="4" w:space="0" w:color="auto"/>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 </w:t>
            </w:r>
          </w:p>
        </w:tc>
        <w:tc>
          <w:tcPr>
            <w:tcW w:w="3859" w:type="dxa"/>
            <w:tcBorders>
              <w:top w:val="nil"/>
              <w:left w:val="nil"/>
              <w:bottom w:val="single" w:sz="4" w:space="0" w:color="auto"/>
              <w:right w:val="single" w:sz="4" w:space="0" w:color="auto"/>
            </w:tcBorders>
            <w:shd w:val="clear" w:color="000000" w:fill="C0C0C0"/>
            <w:vAlign w:val="center"/>
          </w:tcPr>
          <w:p w:rsidR="0022223F" w:rsidRPr="00A71BC9" w:rsidRDefault="0022223F" w:rsidP="00A71BC9">
            <w:pPr>
              <w:rPr>
                <w:b/>
                <w:bCs/>
                <w:sz w:val="18"/>
                <w:szCs w:val="18"/>
                <w:lang w:eastAsia="en-GB"/>
              </w:rPr>
            </w:pPr>
            <w:r w:rsidRPr="00A71BC9">
              <w:rPr>
                <w:b/>
                <w:bCs/>
                <w:sz w:val="18"/>
                <w:szCs w:val="18"/>
                <w:lang w:eastAsia="en-GB"/>
              </w:rPr>
              <w:t>Total Housing Savings</w:t>
            </w:r>
          </w:p>
        </w:tc>
        <w:tc>
          <w:tcPr>
            <w:tcW w:w="1080" w:type="dxa"/>
            <w:tcBorders>
              <w:top w:val="nil"/>
              <w:left w:val="nil"/>
              <w:bottom w:val="single" w:sz="4" w:space="0" w:color="auto"/>
              <w:right w:val="single" w:sz="4" w:space="0" w:color="auto"/>
            </w:tcBorders>
            <w:shd w:val="clear" w:color="000000" w:fill="C0C0C0"/>
            <w:vAlign w:val="center"/>
          </w:tcPr>
          <w:p w:rsidR="0022223F" w:rsidRPr="00A71BC9" w:rsidRDefault="0022223F" w:rsidP="00A71BC9">
            <w:pPr>
              <w:jc w:val="right"/>
              <w:rPr>
                <w:b/>
                <w:bCs/>
                <w:sz w:val="18"/>
                <w:szCs w:val="18"/>
                <w:lang w:eastAsia="en-GB"/>
              </w:rPr>
            </w:pPr>
            <w:r w:rsidRPr="00A71BC9">
              <w:rPr>
                <w:b/>
                <w:bCs/>
                <w:sz w:val="18"/>
                <w:szCs w:val="18"/>
                <w:lang w:eastAsia="en-GB"/>
              </w:rPr>
              <w:t>-543</w:t>
            </w:r>
          </w:p>
        </w:tc>
        <w:tc>
          <w:tcPr>
            <w:tcW w:w="1080" w:type="dxa"/>
            <w:tcBorders>
              <w:top w:val="nil"/>
              <w:left w:val="nil"/>
              <w:bottom w:val="single" w:sz="4" w:space="0" w:color="auto"/>
              <w:right w:val="single" w:sz="4" w:space="0" w:color="auto"/>
            </w:tcBorders>
            <w:shd w:val="clear" w:color="000000" w:fill="C0C0C0"/>
            <w:vAlign w:val="center"/>
          </w:tcPr>
          <w:p w:rsidR="0022223F" w:rsidRPr="00A71BC9" w:rsidRDefault="0022223F" w:rsidP="00A71BC9">
            <w:pPr>
              <w:jc w:val="right"/>
              <w:rPr>
                <w:b/>
                <w:bCs/>
                <w:sz w:val="18"/>
                <w:szCs w:val="18"/>
                <w:lang w:eastAsia="en-GB"/>
              </w:rPr>
            </w:pPr>
            <w:r w:rsidRPr="00A71BC9">
              <w:rPr>
                <w:b/>
                <w:bCs/>
                <w:sz w:val="18"/>
                <w:szCs w:val="18"/>
                <w:lang w:eastAsia="en-GB"/>
              </w:rPr>
              <w:t>0</w:t>
            </w:r>
          </w:p>
        </w:tc>
        <w:tc>
          <w:tcPr>
            <w:tcW w:w="1080" w:type="dxa"/>
            <w:tcBorders>
              <w:top w:val="nil"/>
              <w:left w:val="nil"/>
              <w:bottom w:val="single" w:sz="4" w:space="0" w:color="auto"/>
              <w:right w:val="single" w:sz="4" w:space="0" w:color="auto"/>
            </w:tcBorders>
            <w:shd w:val="clear" w:color="000000" w:fill="C0C0C0"/>
            <w:vAlign w:val="center"/>
          </w:tcPr>
          <w:p w:rsidR="0022223F" w:rsidRPr="00A71BC9" w:rsidRDefault="0022223F" w:rsidP="00A71BC9">
            <w:pPr>
              <w:jc w:val="right"/>
              <w:rPr>
                <w:b/>
                <w:bCs/>
                <w:sz w:val="18"/>
                <w:szCs w:val="18"/>
                <w:lang w:eastAsia="en-GB"/>
              </w:rPr>
            </w:pPr>
            <w:r w:rsidRPr="00A71BC9">
              <w:rPr>
                <w:b/>
                <w:bCs/>
                <w:sz w:val="18"/>
                <w:szCs w:val="18"/>
                <w:lang w:eastAsia="en-GB"/>
              </w:rPr>
              <w:t>0</w:t>
            </w:r>
          </w:p>
        </w:tc>
        <w:tc>
          <w:tcPr>
            <w:tcW w:w="1080" w:type="dxa"/>
            <w:tcBorders>
              <w:top w:val="nil"/>
              <w:left w:val="nil"/>
              <w:bottom w:val="single" w:sz="4" w:space="0" w:color="auto"/>
              <w:right w:val="single" w:sz="4" w:space="0" w:color="auto"/>
            </w:tcBorders>
            <w:shd w:val="clear" w:color="000000" w:fill="FFFFFF"/>
            <w:vAlign w:val="center"/>
          </w:tcPr>
          <w:p w:rsidR="0022223F" w:rsidRPr="00A71BC9" w:rsidRDefault="0022223F" w:rsidP="00A71BC9">
            <w:pPr>
              <w:rPr>
                <w:b/>
                <w:bCs/>
                <w:sz w:val="18"/>
                <w:szCs w:val="18"/>
                <w:lang w:eastAsia="en-GB"/>
              </w:rPr>
            </w:pPr>
            <w:r w:rsidRPr="00A71BC9">
              <w:rPr>
                <w:b/>
                <w:bCs/>
                <w:sz w:val="18"/>
                <w:szCs w:val="18"/>
                <w:lang w:eastAsia="en-GB"/>
              </w:rPr>
              <w:t> </w:t>
            </w:r>
          </w:p>
        </w:tc>
        <w:tc>
          <w:tcPr>
            <w:tcW w:w="4640"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 </w:t>
            </w:r>
          </w:p>
        </w:tc>
      </w:tr>
      <w:tr w:rsidR="0022223F" w:rsidRPr="00A71BC9">
        <w:trPr>
          <w:trHeight w:val="285"/>
        </w:trPr>
        <w:tc>
          <w:tcPr>
            <w:tcW w:w="1241" w:type="dxa"/>
            <w:tcBorders>
              <w:top w:val="nil"/>
              <w:left w:val="single" w:sz="4" w:space="0" w:color="auto"/>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 </w:t>
            </w:r>
          </w:p>
        </w:tc>
        <w:tc>
          <w:tcPr>
            <w:tcW w:w="3859" w:type="dxa"/>
            <w:tcBorders>
              <w:top w:val="nil"/>
              <w:left w:val="nil"/>
              <w:bottom w:val="single" w:sz="4" w:space="0" w:color="auto"/>
              <w:right w:val="single" w:sz="4" w:space="0" w:color="auto"/>
            </w:tcBorders>
            <w:vAlign w:val="center"/>
          </w:tcPr>
          <w:p w:rsidR="0022223F" w:rsidRPr="00A71BC9" w:rsidRDefault="0022223F" w:rsidP="00A71BC9">
            <w:pPr>
              <w:rPr>
                <w:b/>
                <w:bCs/>
                <w:sz w:val="18"/>
                <w:szCs w:val="18"/>
                <w:lang w:eastAsia="en-GB"/>
              </w:rPr>
            </w:pPr>
            <w:r w:rsidRPr="00A71BC9">
              <w:rPr>
                <w:b/>
                <w:bCs/>
                <w:sz w:val="18"/>
                <w:szCs w:val="18"/>
                <w:lang w:eastAsia="en-GB"/>
              </w:rPr>
              <w:t>Community and Culture</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rPr>
                <w:sz w:val="18"/>
                <w:szCs w:val="18"/>
                <w:lang w:eastAsia="en-GB"/>
              </w:rPr>
            </w:pPr>
            <w:r w:rsidRPr="00A71BC9">
              <w:rPr>
                <w:sz w:val="18"/>
                <w:szCs w:val="18"/>
                <w:lang w:eastAsia="en-GB"/>
              </w:rPr>
              <w:t> </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rPr>
                <w:sz w:val="18"/>
                <w:szCs w:val="18"/>
                <w:lang w:eastAsia="en-GB"/>
              </w:rPr>
            </w:pPr>
            <w:r w:rsidRPr="00A71BC9">
              <w:rPr>
                <w:sz w:val="18"/>
                <w:szCs w:val="18"/>
                <w:lang w:eastAsia="en-GB"/>
              </w:rPr>
              <w:t> </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rPr>
                <w:sz w:val="18"/>
                <w:szCs w:val="18"/>
                <w:lang w:eastAsia="en-GB"/>
              </w:rPr>
            </w:pPr>
            <w:r w:rsidRPr="00A71BC9">
              <w:rPr>
                <w:sz w:val="18"/>
                <w:szCs w:val="18"/>
                <w:lang w:eastAsia="en-GB"/>
              </w:rPr>
              <w:t> </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rPr>
                <w:sz w:val="18"/>
                <w:szCs w:val="18"/>
                <w:lang w:eastAsia="en-GB"/>
              </w:rPr>
            </w:pPr>
            <w:r w:rsidRPr="00A71BC9">
              <w:rPr>
                <w:sz w:val="18"/>
                <w:szCs w:val="18"/>
                <w:lang w:eastAsia="en-GB"/>
              </w:rPr>
              <w:t> </w:t>
            </w:r>
          </w:p>
        </w:tc>
        <w:tc>
          <w:tcPr>
            <w:tcW w:w="4640"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 </w:t>
            </w:r>
          </w:p>
        </w:tc>
      </w:tr>
      <w:tr w:rsidR="0022223F" w:rsidRPr="00A71BC9">
        <w:trPr>
          <w:trHeight w:val="285"/>
        </w:trPr>
        <w:tc>
          <w:tcPr>
            <w:tcW w:w="1241" w:type="dxa"/>
            <w:tcBorders>
              <w:top w:val="nil"/>
              <w:left w:val="single" w:sz="4" w:space="0" w:color="auto"/>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CHW048</w:t>
            </w:r>
          </w:p>
        </w:tc>
        <w:tc>
          <w:tcPr>
            <w:tcW w:w="3859"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Cultural Services review of structure</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-15</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22223F" w:rsidRPr="00A71BC9" w:rsidRDefault="0022223F" w:rsidP="00A71BC9">
            <w:pPr>
              <w:rPr>
                <w:sz w:val="18"/>
                <w:szCs w:val="18"/>
                <w:lang w:eastAsia="en-GB"/>
              </w:rPr>
            </w:pPr>
            <w:r w:rsidRPr="00A71BC9">
              <w:rPr>
                <w:sz w:val="18"/>
                <w:szCs w:val="18"/>
                <w:lang w:eastAsia="en-GB"/>
              </w:rPr>
              <w:t>Green</w:t>
            </w:r>
          </w:p>
        </w:tc>
        <w:tc>
          <w:tcPr>
            <w:tcW w:w="4640"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Achievable - 3rd year of payment protection</w:t>
            </w:r>
          </w:p>
        </w:tc>
      </w:tr>
      <w:tr w:rsidR="0022223F" w:rsidRPr="00A71BC9">
        <w:trPr>
          <w:trHeight w:val="1440"/>
        </w:trPr>
        <w:tc>
          <w:tcPr>
            <w:tcW w:w="1241" w:type="dxa"/>
            <w:tcBorders>
              <w:top w:val="nil"/>
              <w:left w:val="single" w:sz="4" w:space="0" w:color="auto"/>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CHW051</w:t>
            </w:r>
          </w:p>
        </w:tc>
        <w:tc>
          <w:tcPr>
            <w:tcW w:w="3859"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Library Volunteers.  Support provided by volunteers.</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-40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single" w:sz="4" w:space="0" w:color="auto"/>
              <w:left w:val="single" w:sz="4" w:space="0" w:color="auto"/>
              <w:bottom w:val="single" w:sz="4" w:space="0" w:color="auto"/>
              <w:right w:val="single" w:sz="4" w:space="0" w:color="auto"/>
            </w:tcBorders>
            <w:shd w:val="clear" w:color="000000" w:fill="FF99CC"/>
            <w:noWrap/>
            <w:vAlign w:val="center"/>
          </w:tcPr>
          <w:p w:rsidR="0022223F" w:rsidRPr="00A71BC9" w:rsidRDefault="0022223F" w:rsidP="00A71BC9">
            <w:pPr>
              <w:rPr>
                <w:sz w:val="18"/>
                <w:szCs w:val="18"/>
                <w:lang w:eastAsia="en-GB"/>
              </w:rPr>
            </w:pPr>
            <w:r w:rsidRPr="00A71BC9">
              <w:rPr>
                <w:sz w:val="18"/>
                <w:szCs w:val="18"/>
                <w:lang w:eastAsia="en-GB"/>
              </w:rPr>
              <w:t>Red</w:t>
            </w:r>
          </w:p>
        </w:tc>
        <w:tc>
          <w:tcPr>
            <w:tcW w:w="4640" w:type="dxa"/>
            <w:tcBorders>
              <w:top w:val="nil"/>
              <w:left w:val="nil"/>
              <w:bottom w:val="single" w:sz="4" w:space="0" w:color="auto"/>
              <w:right w:val="single" w:sz="4" w:space="0" w:color="auto"/>
            </w:tcBorders>
            <w:shd w:val="clear" w:color="000000" w:fill="FFFFFF"/>
            <w:vAlign w:val="center"/>
          </w:tcPr>
          <w:p w:rsidR="0022223F" w:rsidRPr="00A71BC9" w:rsidRDefault="0022223F" w:rsidP="00A71BC9">
            <w:pPr>
              <w:rPr>
                <w:sz w:val="18"/>
                <w:szCs w:val="18"/>
                <w:lang w:eastAsia="en-GB"/>
              </w:rPr>
            </w:pPr>
            <w:r w:rsidRPr="00A71BC9">
              <w:rPr>
                <w:sz w:val="18"/>
                <w:szCs w:val="18"/>
                <w:lang w:eastAsia="en-GB"/>
              </w:rPr>
              <w:t>Historic MTFS item related to library volunteers that is no longer relevant under new contract with Carillion. New saving identified under self service at Hatch End library, however this could only be implemented by late October at the very earliest and would require agreement with the new contractor.</w:t>
            </w:r>
          </w:p>
        </w:tc>
      </w:tr>
      <w:tr w:rsidR="0022223F" w:rsidRPr="00A71BC9">
        <w:trPr>
          <w:trHeight w:val="720"/>
        </w:trPr>
        <w:tc>
          <w:tcPr>
            <w:tcW w:w="1241" w:type="dxa"/>
            <w:tcBorders>
              <w:top w:val="nil"/>
              <w:left w:val="single" w:sz="4" w:space="0" w:color="auto"/>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CHW053</w:t>
            </w:r>
          </w:p>
        </w:tc>
        <w:tc>
          <w:tcPr>
            <w:tcW w:w="3859"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Cultural Strategy Review efficiencies - savings subject to tender with Ealing &amp; Brent</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-400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22223F" w:rsidRPr="00A71BC9" w:rsidRDefault="0022223F" w:rsidP="00A71BC9">
            <w:pPr>
              <w:rPr>
                <w:sz w:val="18"/>
                <w:szCs w:val="18"/>
                <w:lang w:eastAsia="en-GB"/>
              </w:rPr>
            </w:pPr>
            <w:r w:rsidRPr="00A71BC9">
              <w:rPr>
                <w:sz w:val="18"/>
                <w:szCs w:val="18"/>
                <w:lang w:eastAsia="en-GB"/>
              </w:rPr>
              <w:t>Green</w:t>
            </w:r>
          </w:p>
        </w:tc>
        <w:tc>
          <w:tcPr>
            <w:tcW w:w="4640" w:type="dxa"/>
            <w:tcBorders>
              <w:top w:val="nil"/>
              <w:left w:val="nil"/>
              <w:bottom w:val="single" w:sz="4" w:space="0" w:color="auto"/>
              <w:right w:val="single" w:sz="4" w:space="0" w:color="auto"/>
            </w:tcBorders>
            <w:shd w:val="clear" w:color="000000" w:fill="FFFFFF"/>
            <w:vAlign w:val="center"/>
          </w:tcPr>
          <w:p w:rsidR="0022223F" w:rsidRPr="00A71BC9" w:rsidRDefault="0022223F" w:rsidP="00A71BC9">
            <w:pPr>
              <w:rPr>
                <w:sz w:val="18"/>
                <w:szCs w:val="18"/>
                <w:lang w:eastAsia="en-GB"/>
              </w:rPr>
            </w:pPr>
            <w:r w:rsidRPr="00A71BC9">
              <w:rPr>
                <w:sz w:val="18"/>
                <w:szCs w:val="18"/>
                <w:lang w:eastAsia="en-GB"/>
              </w:rPr>
              <w:t>This saving is split between, £135k split over libraries and leisure contracts and £265k managed through a grant saving.</w:t>
            </w:r>
          </w:p>
        </w:tc>
      </w:tr>
      <w:tr w:rsidR="0022223F" w:rsidRPr="00A71BC9">
        <w:trPr>
          <w:trHeight w:val="480"/>
        </w:trPr>
        <w:tc>
          <w:tcPr>
            <w:tcW w:w="1241" w:type="dxa"/>
            <w:tcBorders>
              <w:top w:val="nil"/>
              <w:left w:val="single" w:sz="4" w:space="0" w:color="auto"/>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CHW055</w:t>
            </w:r>
          </w:p>
        </w:tc>
        <w:tc>
          <w:tcPr>
            <w:tcW w:w="3859"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Reduce Adult Learning Subsidy. Services to be funded by grant.</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-50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22223F" w:rsidRPr="00A71BC9" w:rsidRDefault="0022223F" w:rsidP="00A71BC9">
            <w:pPr>
              <w:rPr>
                <w:sz w:val="18"/>
                <w:szCs w:val="18"/>
                <w:lang w:eastAsia="en-GB"/>
              </w:rPr>
            </w:pPr>
            <w:r w:rsidRPr="00A71BC9">
              <w:rPr>
                <w:sz w:val="18"/>
                <w:szCs w:val="18"/>
                <w:lang w:eastAsia="en-GB"/>
              </w:rPr>
              <w:t>Green</w:t>
            </w:r>
          </w:p>
        </w:tc>
        <w:tc>
          <w:tcPr>
            <w:tcW w:w="4640"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To be achieved</w:t>
            </w:r>
          </w:p>
        </w:tc>
      </w:tr>
      <w:tr w:rsidR="0022223F" w:rsidRPr="00A71BC9">
        <w:trPr>
          <w:trHeight w:val="285"/>
        </w:trPr>
        <w:tc>
          <w:tcPr>
            <w:tcW w:w="1241" w:type="dxa"/>
            <w:tcBorders>
              <w:top w:val="nil"/>
              <w:left w:val="single" w:sz="4" w:space="0" w:color="auto"/>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CHW056</w:t>
            </w:r>
          </w:p>
        </w:tc>
        <w:tc>
          <w:tcPr>
            <w:tcW w:w="3859"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 xml:space="preserve">Reduce subsidy to harrow young musicians </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-10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22223F" w:rsidRPr="00A71BC9" w:rsidRDefault="0022223F" w:rsidP="00A71BC9">
            <w:pPr>
              <w:rPr>
                <w:sz w:val="18"/>
                <w:szCs w:val="18"/>
                <w:lang w:eastAsia="en-GB"/>
              </w:rPr>
            </w:pPr>
            <w:r w:rsidRPr="00A71BC9">
              <w:rPr>
                <w:sz w:val="18"/>
                <w:szCs w:val="18"/>
                <w:lang w:eastAsia="en-GB"/>
              </w:rPr>
              <w:t>Green</w:t>
            </w:r>
          </w:p>
        </w:tc>
        <w:tc>
          <w:tcPr>
            <w:tcW w:w="4640"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To be achieved</w:t>
            </w:r>
          </w:p>
        </w:tc>
      </w:tr>
      <w:tr w:rsidR="0022223F" w:rsidRPr="00A71BC9">
        <w:trPr>
          <w:trHeight w:val="480"/>
        </w:trPr>
        <w:tc>
          <w:tcPr>
            <w:tcW w:w="1241" w:type="dxa"/>
            <w:tcBorders>
              <w:top w:val="nil"/>
              <w:left w:val="single" w:sz="4" w:space="0" w:color="auto"/>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CHW062</w:t>
            </w:r>
          </w:p>
        </w:tc>
        <w:tc>
          <w:tcPr>
            <w:tcW w:w="3859"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Deletion of post supporting community festivals</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-48</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22223F" w:rsidRPr="00A71BC9" w:rsidRDefault="0022223F" w:rsidP="00A71BC9">
            <w:pPr>
              <w:rPr>
                <w:sz w:val="18"/>
                <w:szCs w:val="18"/>
                <w:lang w:eastAsia="en-GB"/>
              </w:rPr>
            </w:pPr>
            <w:r w:rsidRPr="00A71BC9">
              <w:rPr>
                <w:sz w:val="18"/>
                <w:szCs w:val="18"/>
                <w:lang w:eastAsia="en-GB"/>
              </w:rPr>
              <w:t>Green</w:t>
            </w:r>
          </w:p>
        </w:tc>
        <w:tc>
          <w:tcPr>
            <w:tcW w:w="4640"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Achieved - postholder left 2013. Restructure not yet carried out.</w:t>
            </w:r>
          </w:p>
        </w:tc>
      </w:tr>
      <w:tr w:rsidR="0022223F" w:rsidRPr="00A71BC9">
        <w:trPr>
          <w:trHeight w:val="285"/>
        </w:trPr>
        <w:tc>
          <w:tcPr>
            <w:tcW w:w="1241" w:type="dxa"/>
            <w:tcBorders>
              <w:top w:val="nil"/>
              <w:left w:val="single" w:sz="4" w:space="0" w:color="auto"/>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 </w:t>
            </w:r>
          </w:p>
        </w:tc>
        <w:tc>
          <w:tcPr>
            <w:tcW w:w="3859" w:type="dxa"/>
            <w:tcBorders>
              <w:top w:val="nil"/>
              <w:left w:val="nil"/>
              <w:bottom w:val="single" w:sz="4" w:space="0" w:color="auto"/>
              <w:right w:val="single" w:sz="4" w:space="0" w:color="auto"/>
            </w:tcBorders>
            <w:shd w:val="clear" w:color="000000" w:fill="C0C0C0"/>
            <w:vAlign w:val="center"/>
          </w:tcPr>
          <w:p w:rsidR="0022223F" w:rsidRPr="00A71BC9" w:rsidRDefault="0022223F" w:rsidP="00A71BC9">
            <w:pPr>
              <w:rPr>
                <w:b/>
                <w:bCs/>
                <w:sz w:val="18"/>
                <w:szCs w:val="18"/>
                <w:lang w:eastAsia="en-GB"/>
              </w:rPr>
            </w:pPr>
            <w:r w:rsidRPr="00A71BC9">
              <w:rPr>
                <w:b/>
                <w:bCs/>
                <w:sz w:val="18"/>
                <w:szCs w:val="18"/>
                <w:lang w:eastAsia="en-GB"/>
              </w:rPr>
              <w:t>Total Community &amp; Culture savings</w:t>
            </w:r>
          </w:p>
        </w:tc>
        <w:tc>
          <w:tcPr>
            <w:tcW w:w="1080" w:type="dxa"/>
            <w:tcBorders>
              <w:top w:val="nil"/>
              <w:left w:val="nil"/>
              <w:bottom w:val="single" w:sz="4" w:space="0" w:color="auto"/>
              <w:right w:val="single" w:sz="4" w:space="0" w:color="auto"/>
            </w:tcBorders>
            <w:shd w:val="clear" w:color="000000" w:fill="C0C0C0"/>
            <w:vAlign w:val="center"/>
          </w:tcPr>
          <w:p w:rsidR="0022223F" w:rsidRPr="00A71BC9" w:rsidRDefault="0022223F" w:rsidP="00A71BC9">
            <w:pPr>
              <w:jc w:val="right"/>
              <w:rPr>
                <w:b/>
                <w:bCs/>
                <w:sz w:val="18"/>
                <w:szCs w:val="18"/>
                <w:lang w:eastAsia="en-GB"/>
              </w:rPr>
            </w:pPr>
            <w:r w:rsidRPr="00A71BC9">
              <w:rPr>
                <w:b/>
                <w:bCs/>
                <w:sz w:val="18"/>
                <w:szCs w:val="18"/>
                <w:lang w:eastAsia="en-GB"/>
              </w:rPr>
              <w:t>-563</w:t>
            </w:r>
          </w:p>
        </w:tc>
        <w:tc>
          <w:tcPr>
            <w:tcW w:w="1080" w:type="dxa"/>
            <w:tcBorders>
              <w:top w:val="nil"/>
              <w:left w:val="nil"/>
              <w:bottom w:val="single" w:sz="4" w:space="0" w:color="auto"/>
              <w:right w:val="single" w:sz="4" w:space="0" w:color="auto"/>
            </w:tcBorders>
            <w:shd w:val="clear" w:color="000000" w:fill="C0C0C0"/>
            <w:vAlign w:val="center"/>
          </w:tcPr>
          <w:p w:rsidR="0022223F" w:rsidRPr="00A71BC9" w:rsidRDefault="0022223F" w:rsidP="00A71BC9">
            <w:pPr>
              <w:jc w:val="right"/>
              <w:rPr>
                <w:b/>
                <w:bCs/>
                <w:sz w:val="18"/>
                <w:szCs w:val="18"/>
                <w:lang w:eastAsia="en-GB"/>
              </w:rPr>
            </w:pPr>
            <w:r w:rsidRPr="00A71BC9">
              <w:rPr>
                <w:b/>
                <w:bCs/>
                <w:sz w:val="18"/>
                <w:szCs w:val="18"/>
                <w:lang w:eastAsia="en-GB"/>
              </w:rPr>
              <w:t>0</w:t>
            </w:r>
          </w:p>
        </w:tc>
        <w:tc>
          <w:tcPr>
            <w:tcW w:w="1080" w:type="dxa"/>
            <w:tcBorders>
              <w:top w:val="nil"/>
              <w:left w:val="nil"/>
              <w:bottom w:val="single" w:sz="4" w:space="0" w:color="auto"/>
              <w:right w:val="single" w:sz="4" w:space="0" w:color="auto"/>
            </w:tcBorders>
            <w:shd w:val="clear" w:color="000000" w:fill="C0C0C0"/>
            <w:vAlign w:val="center"/>
          </w:tcPr>
          <w:p w:rsidR="0022223F" w:rsidRPr="00A71BC9" w:rsidRDefault="0022223F" w:rsidP="00A71BC9">
            <w:pPr>
              <w:jc w:val="right"/>
              <w:rPr>
                <w:b/>
                <w:bCs/>
                <w:sz w:val="18"/>
                <w:szCs w:val="18"/>
                <w:lang w:eastAsia="en-GB"/>
              </w:rPr>
            </w:pPr>
            <w:r w:rsidRPr="00A71BC9">
              <w:rPr>
                <w:b/>
                <w:bCs/>
                <w:sz w:val="18"/>
                <w:szCs w:val="18"/>
                <w:lang w:eastAsia="en-GB"/>
              </w:rPr>
              <w:t>0</w:t>
            </w:r>
          </w:p>
        </w:tc>
        <w:tc>
          <w:tcPr>
            <w:tcW w:w="1080" w:type="dxa"/>
            <w:tcBorders>
              <w:top w:val="nil"/>
              <w:left w:val="nil"/>
              <w:bottom w:val="single" w:sz="4" w:space="0" w:color="auto"/>
              <w:right w:val="single" w:sz="4" w:space="0" w:color="auto"/>
            </w:tcBorders>
            <w:shd w:val="clear" w:color="000000" w:fill="FFFFFF"/>
            <w:vAlign w:val="center"/>
          </w:tcPr>
          <w:p w:rsidR="0022223F" w:rsidRPr="00A71BC9" w:rsidRDefault="0022223F" w:rsidP="00A71BC9">
            <w:pPr>
              <w:rPr>
                <w:b/>
                <w:bCs/>
                <w:sz w:val="18"/>
                <w:szCs w:val="18"/>
                <w:lang w:eastAsia="en-GB"/>
              </w:rPr>
            </w:pPr>
            <w:r w:rsidRPr="00A71BC9">
              <w:rPr>
                <w:b/>
                <w:bCs/>
                <w:sz w:val="18"/>
                <w:szCs w:val="18"/>
                <w:lang w:eastAsia="en-GB"/>
              </w:rPr>
              <w:t> </w:t>
            </w:r>
          </w:p>
        </w:tc>
        <w:tc>
          <w:tcPr>
            <w:tcW w:w="4640"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 </w:t>
            </w:r>
          </w:p>
        </w:tc>
      </w:tr>
      <w:tr w:rsidR="0022223F" w:rsidRPr="00A71BC9">
        <w:trPr>
          <w:trHeight w:val="285"/>
        </w:trPr>
        <w:tc>
          <w:tcPr>
            <w:tcW w:w="1241" w:type="dxa"/>
            <w:tcBorders>
              <w:top w:val="nil"/>
              <w:left w:val="single" w:sz="4" w:space="0" w:color="auto"/>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 </w:t>
            </w:r>
          </w:p>
        </w:tc>
        <w:tc>
          <w:tcPr>
            <w:tcW w:w="3859" w:type="dxa"/>
            <w:tcBorders>
              <w:top w:val="nil"/>
              <w:left w:val="nil"/>
              <w:bottom w:val="single" w:sz="4" w:space="0" w:color="auto"/>
              <w:right w:val="single" w:sz="4" w:space="0" w:color="auto"/>
            </w:tcBorders>
            <w:vAlign w:val="center"/>
          </w:tcPr>
          <w:p w:rsidR="0022223F" w:rsidRPr="00A71BC9" w:rsidRDefault="0022223F" w:rsidP="00A71BC9">
            <w:pPr>
              <w:rPr>
                <w:b/>
                <w:bCs/>
                <w:sz w:val="18"/>
                <w:szCs w:val="18"/>
                <w:lang w:eastAsia="en-GB"/>
              </w:rPr>
            </w:pPr>
            <w:r w:rsidRPr="00A71BC9">
              <w:rPr>
                <w:b/>
                <w:bCs/>
                <w:sz w:val="18"/>
                <w:szCs w:val="18"/>
                <w:lang w:eastAsia="en-GB"/>
              </w:rPr>
              <w:t>Public Health</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rPr>
                <w:sz w:val="18"/>
                <w:szCs w:val="18"/>
                <w:lang w:eastAsia="en-GB"/>
              </w:rPr>
            </w:pPr>
            <w:r w:rsidRPr="00A71BC9">
              <w:rPr>
                <w:sz w:val="18"/>
                <w:szCs w:val="18"/>
                <w:lang w:eastAsia="en-GB"/>
              </w:rPr>
              <w:t> </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rPr>
                <w:sz w:val="18"/>
                <w:szCs w:val="18"/>
                <w:lang w:eastAsia="en-GB"/>
              </w:rPr>
            </w:pPr>
            <w:r w:rsidRPr="00A71BC9">
              <w:rPr>
                <w:sz w:val="18"/>
                <w:szCs w:val="18"/>
                <w:lang w:eastAsia="en-GB"/>
              </w:rPr>
              <w:t> </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rPr>
                <w:sz w:val="18"/>
                <w:szCs w:val="18"/>
                <w:lang w:eastAsia="en-GB"/>
              </w:rPr>
            </w:pPr>
            <w:r w:rsidRPr="00A71BC9">
              <w:rPr>
                <w:sz w:val="18"/>
                <w:szCs w:val="18"/>
                <w:lang w:eastAsia="en-GB"/>
              </w:rPr>
              <w:t> </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rPr>
                <w:sz w:val="18"/>
                <w:szCs w:val="18"/>
                <w:lang w:eastAsia="en-GB"/>
              </w:rPr>
            </w:pPr>
            <w:r w:rsidRPr="00A71BC9">
              <w:rPr>
                <w:sz w:val="18"/>
                <w:szCs w:val="18"/>
                <w:lang w:eastAsia="en-GB"/>
              </w:rPr>
              <w:t> </w:t>
            </w:r>
          </w:p>
        </w:tc>
        <w:tc>
          <w:tcPr>
            <w:tcW w:w="4640"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 </w:t>
            </w:r>
          </w:p>
        </w:tc>
      </w:tr>
      <w:tr w:rsidR="0022223F" w:rsidRPr="00A71BC9">
        <w:trPr>
          <w:trHeight w:val="480"/>
        </w:trPr>
        <w:tc>
          <w:tcPr>
            <w:tcW w:w="1241" w:type="dxa"/>
            <w:tcBorders>
              <w:top w:val="nil"/>
              <w:left w:val="single" w:sz="4" w:space="0" w:color="auto"/>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CHW068</w:t>
            </w:r>
          </w:p>
        </w:tc>
        <w:tc>
          <w:tcPr>
            <w:tcW w:w="3859"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Further Public Health Efficiencies. Funding existing Council revenue funded services.</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-100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22223F" w:rsidRPr="00A71BC9" w:rsidRDefault="0022223F" w:rsidP="00A71BC9">
            <w:pPr>
              <w:rPr>
                <w:sz w:val="18"/>
                <w:szCs w:val="18"/>
                <w:lang w:eastAsia="en-GB"/>
              </w:rPr>
            </w:pPr>
            <w:r w:rsidRPr="00A71BC9">
              <w:rPr>
                <w:sz w:val="18"/>
                <w:szCs w:val="18"/>
                <w:lang w:eastAsia="en-GB"/>
              </w:rPr>
              <w:t>Green</w:t>
            </w:r>
          </w:p>
        </w:tc>
        <w:tc>
          <w:tcPr>
            <w:tcW w:w="4640"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On target</w:t>
            </w:r>
          </w:p>
        </w:tc>
      </w:tr>
      <w:tr w:rsidR="0022223F" w:rsidRPr="00A71BC9">
        <w:trPr>
          <w:trHeight w:val="480"/>
        </w:trPr>
        <w:tc>
          <w:tcPr>
            <w:tcW w:w="1241" w:type="dxa"/>
            <w:tcBorders>
              <w:top w:val="nil"/>
              <w:left w:val="single" w:sz="4" w:space="0" w:color="auto"/>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CHW009 14/15</w:t>
            </w:r>
          </w:p>
        </w:tc>
        <w:tc>
          <w:tcPr>
            <w:tcW w:w="3859"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Reduction in Council’s Contribution to Public Health Budget</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-250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rPr>
                <w:sz w:val="18"/>
                <w:szCs w:val="18"/>
                <w:lang w:eastAsia="en-GB"/>
              </w:rPr>
            </w:pPr>
            <w:r w:rsidRPr="00A71BC9">
              <w:rPr>
                <w:sz w:val="18"/>
                <w:szCs w:val="18"/>
                <w:lang w:eastAsia="en-GB"/>
              </w:rPr>
              <w:t> </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rPr>
                <w:sz w:val="18"/>
                <w:szCs w:val="18"/>
                <w:lang w:eastAsia="en-GB"/>
              </w:rPr>
            </w:pPr>
            <w:r w:rsidRPr="00A71BC9">
              <w:rPr>
                <w:sz w:val="18"/>
                <w:szCs w:val="18"/>
                <w:lang w:eastAsia="en-GB"/>
              </w:rPr>
              <w:t> </w:t>
            </w:r>
          </w:p>
        </w:tc>
        <w:tc>
          <w:tcPr>
            <w:tcW w:w="108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22223F" w:rsidRPr="00A71BC9" w:rsidRDefault="0022223F" w:rsidP="00A71BC9">
            <w:pPr>
              <w:rPr>
                <w:sz w:val="18"/>
                <w:szCs w:val="18"/>
                <w:lang w:eastAsia="en-GB"/>
              </w:rPr>
            </w:pPr>
            <w:r w:rsidRPr="00A71BC9">
              <w:rPr>
                <w:sz w:val="18"/>
                <w:szCs w:val="18"/>
                <w:lang w:eastAsia="en-GB"/>
              </w:rPr>
              <w:t>Green</w:t>
            </w:r>
          </w:p>
        </w:tc>
        <w:tc>
          <w:tcPr>
            <w:tcW w:w="4640"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On target</w:t>
            </w:r>
          </w:p>
        </w:tc>
      </w:tr>
      <w:tr w:rsidR="0022223F" w:rsidRPr="00A71BC9">
        <w:trPr>
          <w:trHeight w:val="285"/>
        </w:trPr>
        <w:tc>
          <w:tcPr>
            <w:tcW w:w="1241" w:type="dxa"/>
            <w:tcBorders>
              <w:top w:val="nil"/>
              <w:left w:val="single" w:sz="4" w:space="0" w:color="auto"/>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 </w:t>
            </w:r>
          </w:p>
        </w:tc>
        <w:tc>
          <w:tcPr>
            <w:tcW w:w="3859" w:type="dxa"/>
            <w:tcBorders>
              <w:top w:val="nil"/>
              <w:left w:val="nil"/>
              <w:bottom w:val="single" w:sz="4" w:space="0" w:color="auto"/>
              <w:right w:val="single" w:sz="4" w:space="0" w:color="auto"/>
            </w:tcBorders>
            <w:shd w:val="clear" w:color="000000" w:fill="C0C0C0"/>
            <w:vAlign w:val="center"/>
          </w:tcPr>
          <w:p w:rsidR="0022223F" w:rsidRPr="00A71BC9" w:rsidRDefault="0022223F" w:rsidP="00A71BC9">
            <w:pPr>
              <w:rPr>
                <w:b/>
                <w:bCs/>
                <w:sz w:val="18"/>
                <w:szCs w:val="18"/>
                <w:lang w:eastAsia="en-GB"/>
              </w:rPr>
            </w:pPr>
            <w:r w:rsidRPr="00A71BC9">
              <w:rPr>
                <w:b/>
                <w:bCs/>
                <w:sz w:val="18"/>
                <w:szCs w:val="18"/>
                <w:lang w:eastAsia="en-GB"/>
              </w:rPr>
              <w:t>Total Public Health</w:t>
            </w:r>
          </w:p>
        </w:tc>
        <w:tc>
          <w:tcPr>
            <w:tcW w:w="1080" w:type="dxa"/>
            <w:tcBorders>
              <w:top w:val="nil"/>
              <w:left w:val="nil"/>
              <w:bottom w:val="single" w:sz="4" w:space="0" w:color="auto"/>
              <w:right w:val="single" w:sz="4" w:space="0" w:color="auto"/>
            </w:tcBorders>
            <w:shd w:val="clear" w:color="000000" w:fill="C0C0C0"/>
            <w:vAlign w:val="center"/>
          </w:tcPr>
          <w:p w:rsidR="0022223F" w:rsidRPr="00A71BC9" w:rsidRDefault="0022223F" w:rsidP="00A71BC9">
            <w:pPr>
              <w:jc w:val="right"/>
              <w:rPr>
                <w:b/>
                <w:bCs/>
                <w:sz w:val="18"/>
                <w:szCs w:val="18"/>
                <w:lang w:eastAsia="en-GB"/>
              </w:rPr>
            </w:pPr>
            <w:r w:rsidRPr="00A71BC9">
              <w:rPr>
                <w:b/>
                <w:bCs/>
                <w:sz w:val="18"/>
                <w:szCs w:val="18"/>
                <w:lang w:eastAsia="en-GB"/>
              </w:rPr>
              <w:t>-350</w:t>
            </w:r>
          </w:p>
        </w:tc>
        <w:tc>
          <w:tcPr>
            <w:tcW w:w="1080" w:type="dxa"/>
            <w:tcBorders>
              <w:top w:val="nil"/>
              <w:left w:val="nil"/>
              <w:bottom w:val="single" w:sz="4" w:space="0" w:color="auto"/>
              <w:right w:val="single" w:sz="4" w:space="0" w:color="auto"/>
            </w:tcBorders>
            <w:shd w:val="clear" w:color="000000" w:fill="C0C0C0"/>
            <w:vAlign w:val="center"/>
          </w:tcPr>
          <w:p w:rsidR="0022223F" w:rsidRPr="00A71BC9" w:rsidRDefault="0022223F" w:rsidP="00A71BC9">
            <w:pPr>
              <w:jc w:val="right"/>
              <w:rPr>
                <w:b/>
                <w:bCs/>
                <w:sz w:val="18"/>
                <w:szCs w:val="18"/>
                <w:lang w:eastAsia="en-GB"/>
              </w:rPr>
            </w:pPr>
            <w:r w:rsidRPr="00A71BC9">
              <w:rPr>
                <w:b/>
                <w:bCs/>
                <w:sz w:val="18"/>
                <w:szCs w:val="18"/>
                <w:lang w:eastAsia="en-GB"/>
              </w:rPr>
              <w:t>0</w:t>
            </w:r>
          </w:p>
        </w:tc>
        <w:tc>
          <w:tcPr>
            <w:tcW w:w="1080" w:type="dxa"/>
            <w:tcBorders>
              <w:top w:val="nil"/>
              <w:left w:val="nil"/>
              <w:bottom w:val="single" w:sz="4" w:space="0" w:color="auto"/>
              <w:right w:val="single" w:sz="4" w:space="0" w:color="auto"/>
            </w:tcBorders>
            <w:shd w:val="clear" w:color="000000" w:fill="C0C0C0"/>
            <w:vAlign w:val="center"/>
          </w:tcPr>
          <w:p w:rsidR="0022223F" w:rsidRPr="00A71BC9" w:rsidRDefault="0022223F" w:rsidP="00A71BC9">
            <w:pPr>
              <w:jc w:val="right"/>
              <w:rPr>
                <w:b/>
                <w:bCs/>
                <w:sz w:val="18"/>
                <w:szCs w:val="18"/>
                <w:lang w:eastAsia="en-GB"/>
              </w:rPr>
            </w:pPr>
            <w:r w:rsidRPr="00A71BC9">
              <w:rPr>
                <w:b/>
                <w:bCs/>
                <w:sz w:val="18"/>
                <w:szCs w:val="18"/>
                <w:lang w:eastAsia="en-GB"/>
              </w:rPr>
              <w:t>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rPr>
                <w:sz w:val="18"/>
                <w:szCs w:val="18"/>
                <w:lang w:eastAsia="en-GB"/>
              </w:rPr>
            </w:pPr>
            <w:r w:rsidRPr="00A71BC9">
              <w:rPr>
                <w:sz w:val="18"/>
                <w:szCs w:val="18"/>
                <w:lang w:eastAsia="en-GB"/>
              </w:rPr>
              <w:t> </w:t>
            </w:r>
          </w:p>
        </w:tc>
        <w:tc>
          <w:tcPr>
            <w:tcW w:w="4640"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 </w:t>
            </w:r>
          </w:p>
        </w:tc>
      </w:tr>
      <w:tr w:rsidR="0022223F" w:rsidRPr="00A71BC9">
        <w:trPr>
          <w:trHeight w:val="285"/>
        </w:trPr>
        <w:tc>
          <w:tcPr>
            <w:tcW w:w="1241" w:type="dxa"/>
            <w:tcBorders>
              <w:top w:val="nil"/>
              <w:left w:val="single" w:sz="4" w:space="0" w:color="auto"/>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 </w:t>
            </w:r>
          </w:p>
        </w:tc>
        <w:tc>
          <w:tcPr>
            <w:tcW w:w="3859" w:type="dxa"/>
            <w:tcBorders>
              <w:top w:val="nil"/>
              <w:left w:val="nil"/>
              <w:bottom w:val="single" w:sz="4" w:space="0" w:color="auto"/>
              <w:right w:val="single" w:sz="4" w:space="0" w:color="auto"/>
            </w:tcBorders>
            <w:shd w:val="clear" w:color="000000" w:fill="C0C0C0"/>
            <w:vAlign w:val="center"/>
          </w:tcPr>
          <w:p w:rsidR="0022223F" w:rsidRPr="00A71BC9" w:rsidRDefault="0022223F" w:rsidP="009D3000">
            <w:pPr>
              <w:rPr>
                <w:b/>
                <w:bCs/>
                <w:sz w:val="18"/>
                <w:szCs w:val="18"/>
                <w:lang w:eastAsia="en-GB"/>
              </w:rPr>
            </w:pPr>
            <w:r w:rsidRPr="00A71BC9">
              <w:rPr>
                <w:b/>
                <w:bCs/>
                <w:sz w:val="18"/>
                <w:szCs w:val="18"/>
                <w:lang w:eastAsia="en-GB"/>
              </w:rPr>
              <w:t>Total C</w:t>
            </w:r>
            <w:r>
              <w:rPr>
                <w:b/>
                <w:bCs/>
                <w:sz w:val="18"/>
                <w:szCs w:val="18"/>
                <w:lang w:eastAsia="en-GB"/>
              </w:rPr>
              <w:t>ommunity, Health &amp; Wellbeing</w:t>
            </w:r>
          </w:p>
        </w:tc>
        <w:tc>
          <w:tcPr>
            <w:tcW w:w="1080" w:type="dxa"/>
            <w:tcBorders>
              <w:top w:val="nil"/>
              <w:left w:val="nil"/>
              <w:bottom w:val="single" w:sz="4" w:space="0" w:color="auto"/>
              <w:right w:val="single" w:sz="4" w:space="0" w:color="auto"/>
            </w:tcBorders>
            <w:shd w:val="clear" w:color="000000" w:fill="C0C0C0"/>
            <w:vAlign w:val="center"/>
          </w:tcPr>
          <w:p w:rsidR="0022223F" w:rsidRPr="00A71BC9" w:rsidRDefault="0022223F" w:rsidP="00A71BC9">
            <w:pPr>
              <w:jc w:val="right"/>
              <w:rPr>
                <w:b/>
                <w:bCs/>
                <w:sz w:val="18"/>
                <w:szCs w:val="18"/>
                <w:lang w:eastAsia="en-GB"/>
              </w:rPr>
            </w:pPr>
            <w:r w:rsidRPr="00A71BC9">
              <w:rPr>
                <w:b/>
                <w:bCs/>
                <w:sz w:val="18"/>
                <w:szCs w:val="18"/>
                <w:lang w:eastAsia="en-GB"/>
              </w:rPr>
              <w:t>-6,767</w:t>
            </w:r>
          </w:p>
        </w:tc>
        <w:tc>
          <w:tcPr>
            <w:tcW w:w="1080" w:type="dxa"/>
            <w:tcBorders>
              <w:top w:val="nil"/>
              <w:left w:val="nil"/>
              <w:bottom w:val="single" w:sz="4" w:space="0" w:color="auto"/>
              <w:right w:val="single" w:sz="4" w:space="0" w:color="auto"/>
            </w:tcBorders>
            <w:shd w:val="clear" w:color="000000" w:fill="C0C0C0"/>
            <w:vAlign w:val="center"/>
          </w:tcPr>
          <w:p w:rsidR="0022223F" w:rsidRPr="00A71BC9" w:rsidRDefault="0022223F" w:rsidP="00A71BC9">
            <w:pPr>
              <w:jc w:val="right"/>
              <w:rPr>
                <w:b/>
                <w:bCs/>
                <w:sz w:val="18"/>
                <w:szCs w:val="18"/>
                <w:lang w:eastAsia="en-GB"/>
              </w:rPr>
            </w:pPr>
            <w:r w:rsidRPr="00A71BC9">
              <w:rPr>
                <w:b/>
                <w:bCs/>
                <w:sz w:val="18"/>
                <w:szCs w:val="18"/>
                <w:lang w:eastAsia="en-GB"/>
              </w:rPr>
              <w:t>0</w:t>
            </w:r>
          </w:p>
        </w:tc>
        <w:tc>
          <w:tcPr>
            <w:tcW w:w="1080" w:type="dxa"/>
            <w:tcBorders>
              <w:top w:val="nil"/>
              <w:left w:val="nil"/>
              <w:bottom w:val="single" w:sz="4" w:space="0" w:color="auto"/>
              <w:right w:val="single" w:sz="4" w:space="0" w:color="auto"/>
            </w:tcBorders>
            <w:shd w:val="clear" w:color="000000" w:fill="C0C0C0"/>
            <w:vAlign w:val="center"/>
          </w:tcPr>
          <w:p w:rsidR="0022223F" w:rsidRPr="00A71BC9" w:rsidRDefault="0022223F" w:rsidP="00A71BC9">
            <w:pPr>
              <w:jc w:val="right"/>
              <w:rPr>
                <w:b/>
                <w:bCs/>
                <w:sz w:val="18"/>
                <w:szCs w:val="18"/>
                <w:lang w:eastAsia="en-GB"/>
              </w:rPr>
            </w:pPr>
            <w:r w:rsidRPr="00A71BC9">
              <w:rPr>
                <w:b/>
                <w:bCs/>
                <w:sz w:val="18"/>
                <w:szCs w:val="18"/>
                <w:lang w:eastAsia="en-GB"/>
              </w:rPr>
              <w:t>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rPr>
                <w:b/>
                <w:bCs/>
                <w:sz w:val="18"/>
                <w:szCs w:val="18"/>
                <w:lang w:eastAsia="en-GB"/>
              </w:rPr>
            </w:pPr>
            <w:r w:rsidRPr="00A71BC9">
              <w:rPr>
                <w:b/>
                <w:bCs/>
                <w:sz w:val="18"/>
                <w:szCs w:val="18"/>
                <w:lang w:eastAsia="en-GB"/>
              </w:rPr>
              <w:t> </w:t>
            </w:r>
          </w:p>
        </w:tc>
        <w:tc>
          <w:tcPr>
            <w:tcW w:w="4640" w:type="dxa"/>
            <w:tcBorders>
              <w:top w:val="nil"/>
              <w:left w:val="nil"/>
              <w:bottom w:val="single" w:sz="4" w:space="0" w:color="auto"/>
              <w:right w:val="single" w:sz="4" w:space="0" w:color="auto"/>
            </w:tcBorders>
            <w:noWrap/>
            <w:vAlign w:val="center"/>
          </w:tcPr>
          <w:p w:rsidR="0022223F" w:rsidRPr="00A71BC9" w:rsidRDefault="0022223F" w:rsidP="00A71BC9">
            <w:pPr>
              <w:rPr>
                <w:b/>
                <w:bCs/>
                <w:sz w:val="18"/>
                <w:szCs w:val="18"/>
                <w:lang w:eastAsia="en-GB"/>
              </w:rPr>
            </w:pPr>
            <w:r w:rsidRPr="00A71BC9">
              <w:rPr>
                <w:b/>
                <w:bCs/>
                <w:sz w:val="18"/>
                <w:szCs w:val="18"/>
                <w:lang w:eastAsia="en-GB"/>
              </w:rPr>
              <w:t> </w:t>
            </w:r>
          </w:p>
        </w:tc>
      </w:tr>
      <w:tr w:rsidR="0022223F" w:rsidRPr="00A71BC9">
        <w:trPr>
          <w:trHeight w:val="285"/>
        </w:trPr>
        <w:tc>
          <w:tcPr>
            <w:tcW w:w="1241" w:type="dxa"/>
            <w:tcBorders>
              <w:top w:val="nil"/>
              <w:left w:val="single" w:sz="4" w:space="0" w:color="auto"/>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 </w:t>
            </w:r>
          </w:p>
        </w:tc>
        <w:tc>
          <w:tcPr>
            <w:tcW w:w="3859" w:type="dxa"/>
            <w:tcBorders>
              <w:top w:val="nil"/>
              <w:left w:val="nil"/>
              <w:bottom w:val="single" w:sz="4" w:space="0" w:color="auto"/>
              <w:right w:val="single" w:sz="4" w:space="0" w:color="auto"/>
            </w:tcBorders>
            <w:vAlign w:val="center"/>
          </w:tcPr>
          <w:p w:rsidR="0022223F" w:rsidRPr="00A71BC9" w:rsidRDefault="0022223F" w:rsidP="00A71BC9">
            <w:pPr>
              <w:rPr>
                <w:b/>
                <w:bCs/>
                <w:sz w:val="18"/>
                <w:szCs w:val="18"/>
                <w:lang w:eastAsia="en-GB"/>
              </w:rPr>
            </w:pPr>
            <w:r w:rsidRPr="00A71BC9">
              <w:rPr>
                <w:b/>
                <w:bCs/>
                <w:sz w:val="18"/>
                <w:szCs w:val="18"/>
                <w:lang w:eastAsia="en-GB"/>
              </w:rPr>
              <w:t> </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rPr>
                <w:sz w:val="18"/>
                <w:szCs w:val="18"/>
                <w:lang w:eastAsia="en-GB"/>
              </w:rPr>
            </w:pPr>
            <w:r w:rsidRPr="00A71BC9">
              <w:rPr>
                <w:sz w:val="18"/>
                <w:szCs w:val="18"/>
                <w:lang w:eastAsia="en-GB"/>
              </w:rPr>
              <w:t> </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rPr>
                <w:sz w:val="18"/>
                <w:szCs w:val="18"/>
                <w:lang w:eastAsia="en-GB"/>
              </w:rPr>
            </w:pPr>
            <w:r w:rsidRPr="00A71BC9">
              <w:rPr>
                <w:sz w:val="18"/>
                <w:szCs w:val="18"/>
                <w:lang w:eastAsia="en-GB"/>
              </w:rPr>
              <w:t> </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rPr>
                <w:sz w:val="18"/>
                <w:szCs w:val="18"/>
                <w:lang w:eastAsia="en-GB"/>
              </w:rPr>
            </w:pPr>
            <w:r w:rsidRPr="00A71BC9">
              <w:rPr>
                <w:sz w:val="18"/>
                <w:szCs w:val="18"/>
                <w:lang w:eastAsia="en-GB"/>
              </w:rPr>
              <w:t> </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rPr>
                <w:sz w:val="18"/>
                <w:szCs w:val="18"/>
                <w:lang w:eastAsia="en-GB"/>
              </w:rPr>
            </w:pPr>
            <w:r w:rsidRPr="00A71BC9">
              <w:rPr>
                <w:sz w:val="18"/>
                <w:szCs w:val="18"/>
                <w:lang w:eastAsia="en-GB"/>
              </w:rPr>
              <w:t> </w:t>
            </w:r>
          </w:p>
        </w:tc>
        <w:tc>
          <w:tcPr>
            <w:tcW w:w="4640" w:type="dxa"/>
            <w:tcBorders>
              <w:top w:val="nil"/>
              <w:left w:val="nil"/>
              <w:bottom w:val="single" w:sz="4" w:space="0" w:color="auto"/>
              <w:right w:val="single" w:sz="4" w:space="0" w:color="auto"/>
            </w:tcBorders>
            <w:vAlign w:val="center"/>
          </w:tcPr>
          <w:p w:rsidR="0022223F" w:rsidRDefault="0022223F" w:rsidP="00A71BC9">
            <w:pPr>
              <w:rPr>
                <w:sz w:val="18"/>
                <w:szCs w:val="18"/>
                <w:lang w:eastAsia="en-GB"/>
              </w:rPr>
            </w:pPr>
            <w:r w:rsidRPr="00A71BC9">
              <w:rPr>
                <w:sz w:val="18"/>
                <w:szCs w:val="18"/>
                <w:lang w:eastAsia="en-GB"/>
              </w:rPr>
              <w:t> </w:t>
            </w:r>
          </w:p>
          <w:p w:rsidR="0022223F" w:rsidRDefault="0022223F" w:rsidP="00A71BC9">
            <w:pPr>
              <w:rPr>
                <w:sz w:val="18"/>
                <w:szCs w:val="18"/>
                <w:lang w:eastAsia="en-GB"/>
              </w:rPr>
            </w:pPr>
          </w:p>
          <w:p w:rsidR="0022223F" w:rsidRDefault="0022223F" w:rsidP="00A71BC9">
            <w:pPr>
              <w:rPr>
                <w:sz w:val="18"/>
                <w:szCs w:val="18"/>
                <w:lang w:eastAsia="en-GB"/>
              </w:rPr>
            </w:pPr>
          </w:p>
          <w:p w:rsidR="0022223F" w:rsidRDefault="0022223F" w:rsidP="00A71BC9">
            <w:pPr>
              <w:rPr>
                <w:sz w:val="18"/>
                <w:szCs w:val="18"/>
                <w:lang w:eastAsia="en-GB"/>
              </w:rPr>
            </w:pPr>
          </w:p>
          <w:p w:rsidR="0022223F" w:rsidRDefault="0022223F" w:rsidP="00A71BC9">
            <w:pPr>
              <w:rPr>
                <w:sz w:val="18"/>
                <w:szCs w:val="18"/>
                <w:lang w:eastAsia="en-GB"/>
              </w:rPr>
            </w:pPr>
          </w:p>
          <w:p w:rsidR="0022223F" w:rsidRDefault="0022223F" w:rsidP="00A71BC9">
            <w:pPr>
              <w:rPr>
                <w:sz w:val="18"/>
                <w:szCs w:val="18"/>
                <w:lang w:eastAsia="en-GB"/>
              </w:rPr>
            </w:pPr>
          </w:p>
          <w:p w:rsidR="0022223F" w:rsidRPr="00A71BC9" w:rsidRDefault="0022223F" w:rsidP="00A71BC9">
            <w:pPr>
              <w:rPr>
                <w:sz w:val="18"/>
                <w:szCs w:val="18"/>
                <w:lang w:eastAsia="en-GB"/>
              </w:rPr>
            </w:pPr>
          </w:p>
        </w:tc>
      </w:tr>
      <w:tr w:rsidR="0022223F" w:rsidRPr="00A71BC9">
        <w:trPr>
          <w:trHeight w:val="285"/>
        </w:trPr>
        <w:tc>
          <w:tcPr>
            <w:tcW w:w="1241" w:type="dxa"/>
            <w:tcBorders>
              <w:top w:val="nil"/>
              <w:left w:val="single" w:sz="4" w:space="0" w:color="auto"/>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 </w:t>
            </w:r>
          </w:p>
        </w:tc>
        <w:tc>
          <w:tcPr>
            <w:tcW w:w="3859" w:type="dxa"/>
            <w:tcBorders>
              <w:top w:val="nil"/>
              <w:left w:val="nil"/>
              <w:bottom w:val="single" w:sz="4" w:space="0" w:color="auto"/>
              <w:right w:val="single" w:sz="4" w:space="0" w:color="auto"/>
            </w:tcBorders>
            <w:vAlign w:val="center"/>
          </w:tcPr>
          <w:p w:rsidR="0022223F" w:rsidRPr="00A71BC9" w:rsidRDefault="0022223F" w:rsidP="00A71BC9">
            <w:pPr>
              <w:rPr>
                <w:b/>
                <w:bCs/>
                <w:sz w:val="18"/>
                <w:szCs w:val="18"/>
                <w:lang w:eastAsia="en-GB"/>
              </w:rPr>
            </w:pPr>
            <w:r w:rsidRPr="00A71BC9">
              <w:rPr>
                <w:b/>
                <w:bCs/>
                <w:sz w:val="18"/>
                <w:szCs w:val="18"/>
                <w:lang w:eastAsia="en-GB"/>
              </w:rPr>
              <w:t>RESOURCES</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rPr>
                <w:sz w:val="18"/>
                <w:szCs w:val="18"/>
                <w:lang w:eastAsia="en-GB"/>
              </w:rPr>
            </w:pPr>
            <w:r w:rsidRPr="00A71BC9">
              <w:rPr>
                <w:sz w:val="18"/>
                <w:szCs w:val="18"/>
                <w:lang w:eastAsia="en-GB"/>
              </w:rPr>
              <w:t> </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rPr>
                <w:sz w:val="18"/>
                <w:szCs w:val="18"/>
                <w:lang w:eastAsia="en-GB"/>
              </w:rPr>
            </w:pPr>
            <w:r w:rsidRPr="00A71BC9">
              <w:rPr>
                <w:sz w:val="18"/>
                <w:szCs w:val="18"/>
                <w:lang w:eastAsia="en-GB"/>
              </w:rPr>
              <w:t> </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rPr>
                <w:sz w:val="18"/>
                <w:szCs w:val="18"/>
                <w:lang w:eastAsia="en-GB"/>
              </w:rPr>
            </w:pPr>
            <w:r w:rsidRPr="00A71BC9">
              <w:rPr>
                <w:sz w:val="18"/>
                <w:szCs w:val="18"/>
                <w:lang w:eastAsia="en-GB"/>
              </w:rPr>
              <w:t> </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rPr>
                <w:sz w:val="18"/>
                <w:szCs w:val="18"/>
                <w:lang w:eastAsia="en-GB"/>
              </w:rPr>
            </w:pPr>
            <w:r w:rsidRPr="00A71BC9">
              <w:rPr>
                <w:sz w:val="18"/>
                <w:szCs w:val="18"/>
                <w:lang w:eastAsia="en-GB"/>
              </w:rPr>
              <w:t> </w:t>
            </w:r>
          </w:p>
        </w:tc>
        <w:tc>
          <w:tcPr>
            <w:tcW w:w="4640"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 </w:t>
            </w:r>
          </w:p>
        </w:tc>
      </w:tr>
      <w:tr w:rsidR="0022223F" w:rsidRPr="00A71BC9">
        <w:trPr>
          <w:trHeight w:val="285"/>
        </w:trPr>
        <w:tc>
          <w:tcPr>
            <w:tcW w:w="1241" w:type="dxa"/>
            <w:tcBorders>
              <w:top w:val="nil"/>
              <w:left w:val="single" w:sz="4" w:space="0" w:color="auto"/>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 </w:t>
            </w:r>
          </w:p>
        </w:tc>
        <w:tc>
          <w:tcPr>
            <w:tcW w:w="3859" w:type="dxa"/>
            <w:tcBorders>
              <w:top w:val="nil"/>
              <w:left w:val="nil"/>
              <w:bottom w:val="single" w:sz="4" w:space="0" w:color="auto"/>
              <w:right w:val="single" w:sz="4" w:space="0" w:color="auto"/>
            </w:tcBorders>
            <w:vAlign w:val="center"/>
          </w:tcPr>
          <w:p w:rsidR="0022223F" w:rsidRPr="00A71BC9" w:rsidRDefault="0022223F" w:rsidP="00A71BC9">
            <w:pPr>
              <w:rPr>
                <w:b/>
                <w:bCs/>
                <w:sz w:val="18"/>
                <w:szCs w:val="18"/>
                <w:lang w:eastAsia="en-GB"/>
              </w:rPr>
            </w:pPr>
            <w:r w:rsidRPr="00A71BC9">
              <w:rPr>
                <w:b/>
                <w:bCs/>
                <w:sz w:val="18"/>
                <w:szCs w:val="18"/>
                <w:lang w:eastAsia="en-GB"/>
              </w:rPr>
              <w:t>Customer Services</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rPr>
                <w:sz w:val="18"/>
                <w:szCs w:val="18"/>
                <w:lang w:eastAsia="en-GB"/>
              </w:rPr>
            </w:pPr>
            <w:r w:rsidRPr="00A71BC9">
              <w:rPr>
                <w:sz w:val="18"/>
                <w:szCs w:val="18"/>
                <w:lang w:eastAsia="en-GB"/>
              </w:rPr>
              <w:t> </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rPr>
                <w:sz w:val="18"/>
                <w:szCs w:val="18"/>
                <w:lang w:eastAsia="en-GB"/>
              </w:rPr>
            </w:pPr>
            <w:r w:rsidRPr="00A71BC9">
              <w:rPr>
                <w:sz w:val="18"/>
                <w:szCs w:val="18"/>
                <w:lang w:eastAsia="en-GB"/>
              </w:rPr>
              <w:t> </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rPr>
                <w:sz w:val="18"/>
                <w:szCs w:val="18"/>
                <w:lang w:eastAsia="en-GB"/>
              </w:rPr>
            </w:pPr>
            <w:r w:rsidRPr="00A71BC9">
              <w:rPr>
                <w:sz w:val="18"/>
                <w:szCs w:val="18"/>
                <w:lang w:eastAsia="en-GB"/>
              </w:rPr>
              <w:t> </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rPr>
                <w:sz w:val="18"/>
                <w:szCs w:val="18"/>
                <w:lang w:eastAsia="en-GB"/>
              </w:rPr>
            </w:pPr>
            <w:r w:rsidRPr="00A71BC9">
              <w:rPr>
                <w:sz w:val="18"/>
                <w:szCs w:val="18"/>
                <w:lang w:eastAsia="en-GB"/>
              </w:rPr>
              <w:t> </w:t>
            </w:r>
          </w:p>
        </w:tc>
        <w:tc>
          <w:tcPr>
            <w:tcW w:w="4640"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 </w:t>
            </w:r>
          </w:p>
        </w:tc>
      </w:tr>
      <w:tr w:rsidR="0022223F" w:rsidRPr="00A71BC9">
        <w:trPr>
          <w:trHeight w:val="960"/>
        </w:trPr>
        <w:tc>
          <w:tcPr>
            <w:tcW w:w="1241" w:type="dxa"/>
            <w:tcBorders>
              <w:top w:val="nil"/>
              <w:left w:val="single" w:sz="4" w:space="0" w:color="auto"/>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RES027</w:t>
            </w:r>
          </w:p>
        </w:tc>
        <w:tc>
          <w:tcPr>
            <w:tcW w:w="3859"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Use of Artificial Intelligence to divert switchboard calls. Reducing use of staff, introduced in 2013-14 with full year impact of saving in 2014-15</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-60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22223F" w:rsidRPr="00A71BC9" w:rsidRDefault="0022223F" w:rsidP="00A71BC9">
            <w:pPr>
              <w:rPr>
                <w:sz w:val="18"/>
                <w:szCs w:val="18"/>
                <w:lang w:eastAsia="en-GB"/>
              </w:rPr>
            </w:pPr>
            <w:r w:rsidRPr="00A71BC9">
              <w:rPr>
                <w:sz w:val="18"/>
                <w:szCs w:val="18"/>
                <w:lang w:eastAsia="en-GB"/>
              </w:rPr>
              <w:t>Green</w:t>
            </w:r>
          </w:p>
        </w:tc>
        <w:tc>
          <w:tcPr>
            <w:tcW w:w="4640" w:type="dxa"/>
            <w:tcBorders>
              <w:top w:val="nil"/>
              <w:left w:val="nil"/>
              <w:bottom w:val="single" w:sz="4" w:space="0" w:color="auto"/>
              <w:right w:val="single" w:sz="4" w:space="0" w:color="auto"/>
            </w:tcBorders>
          </w:tcPr>
          <w:p w:rsidR="0022223F" w:rsidRPr="00A71BC9" w:rsidRDefault="0022223F" w:rsidP="00A71BC9">
            <w:pPr>
              <w:rPr>
                <w:color w:val="000000"/>
                <w:sz w:val="18"/>
                <w:szCs w:val="18"/>
                <w:lang w:eastAsia="en-GB"/>
              </w:rPr>
            </w:pPr>
            <w:r w:rsidRPr="00A71BC9">
              <w:rPr>
                <w:color w:val="000000"/>
                <w:sz w:val="18"/>
                <w:szCs w:val="18"/>
                <w:lang w:eastAsia="en-GB"/>
              </w:rPr>
              <w:t>Delivered -Artificial switchboard is in place, staffing has been reduced accordingly</w:t>
            </w:r>
          </w:p>
        </w:tc>
      </w:tr>
      <w:tr w:rsidR="0022223F" w:rsidRPr="00A71BC9">
        <w:trPr>
          <w:trHeight w:val="960"/>
        </w:trPr>
        <w:tc>
          <w:tcPr>
            <w:tcW w:w="1241" w:type="dxa"/>
            <w:tcBorders>
              <w:top w:val="nil"/>
              <w:left w:val="single" w:sz="4" w:space="0" w:color="auto"/>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RES029</w:t>
            </w:r>
          </w:p>
        </w:tc>
        <w:tc>
          <w:tcPr>
            <w:tcW w:w="3859"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Further channel shift through roll out of My Harrow account. Reduction in Access Harrow staffing resulting from self serve via MHA, website and IVR</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-60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-60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22223F" w:rsidRPr="00A71BC9" w:rsidRDefault="0022223F" w:rsidP="00A71BC9">
            <w:pPr>
              <w:rPr>
                <w:sz w:val="18"/>
                <w:szCs w:val="18"/>
                <w:lang w:eastAsia="en-GB"/>
              </w:rPr>
            </w:pPr>
            <w:r w:rsidRPr="00A71BC9">
              <w:rPr>
                <w:sz w:val="18"/>
                <w:szCs w:val="18"/>
                <w:lang w:eastAsia="en-GB"/>
              </w:rPr>
              <w:t>Green</w:t>
            </w:r>
          </w:p>
        </w:tc>
        <w:tc>
          <w:tcPr>
            <w:tcW w:w="4640" w:type="dxa"/>
            <w:tcBorders>
              <w:top w:val="nil"/>
              <w:left w:val="nil"/>
              <w:bottom w:val="single" w:sz="4" w:space="0" w:color="auto"/>
              <w:right w:val="single" w:sz="4" w:space="0" w:color="auto"/>
            </w:tcBorders>
          </w:tcPr>
          <w:p w:rsidR="0022223F" w:rsidRPr="00A71BC9" w:rsidRDefault="0022223F" w:rsidP="00A71BC9">
            <w:pPr>
              <w:rPr>
                <w:color w:val="000000"/>
                <w:sz w:val="18"/>
                <w:szCs w:val="18"/>
                <w:lang w:eastAsia="en-GB"/>
              </w:rPr>
            </w:pPr>
            <w:r w:rsidRPr="00A71BC9">
              <w:rPr>
                <w:color w:val="000000"/>
                <w:sz w:val="18"/>
                <w:szCs w:val="18"/>
                <w:lang w:eastAsia="en-GB"/>
              </w:rPr>
              <w:t>Delivered-60,000+ MHA accounts handle 14,000+ enquiries per month.  Staffing levels have been reduced.</w:t>
            </w:r>
          </w:p>
        </w:tc>
      </w:tr>
      <w:tr w:rsidR="0022223F" w:rsidRPr="00A71BC9">
        <w:trPr>
          <w:trHeight w:val="1200"/>
        </w:trPr>
        <w:tc>
          <w:tcPr>
            <w:tcW w:w="1241" w:type="dxa"/>
            <w:tcBorders>
              <w:top w:val="nil"/>
              <w:left w:val="single" w:sz="4" w:space="0" w:color="auto"/>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RES030</w:t>
            </w:r>
          </w:p>
        </w:tc>
        <w:tc>
          <w:tcPr>
            <w:tcW w:w="3859"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Close Face to Face (F2F) and Telephony Channels for Public Realm Enquiries. Over a 3 year period close face to face contact in Access Harrow for Public Realm queries and migrate to Internet contact.</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-30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-70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-50</w:t>
            </w:r>
          </w:p>
        </w:tc>
        <w:tc>
          <w:tcPr>
            <w:tcW w:w="108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22223F" w:rsidRPr="00A71BC9" w:rsidRDefault="0022223F" w:rsidP="00A71BC9">
            <w:pPr>
              <w:rPr>
                <w:sz w:val="18"/>
                <w:szCs w:val="18"/>
                <w:lang w:eastAsia="en-GB"/>
              </w:rPr>
            </w:pPr>
            <w:r w:rsidRPr="00A71BC9">
              <w:rPr>
                <w:sz w:val="18"/>
                <w:szCs w:val="18"/>
                <w:lang w:eastAsia="en-GB"/>
              </w:rPr>
              <w:t>Green</w:t>
            </w:r>
          </w:p>
        </w:tc>
        <w:tc>
          <w:tcPr>
            <w:tcW w:w="4640" w:type="dxa"/>
            <w:tcBorders>
              <w:top w:val="nil"/>
              <w:left w:val="nil"/>
              <w:bottom w:val="single" w:sz="4" w:space="0" w:color="auto"/>
              <w:right w:val="single" w:sz="4" w:space="0" w:color="auto"/>
            </w:tcBorders>
          </w:tcPr>
          <w:p w:rsidR="0022223F" w:rsidRPr="00A71BC9" w:rsidRDefault="0022223F" w:rsidP="00A71BC9">
            <w:pPr>
              <w:rPr>
                <w:color w:val="000000"/>
                <w:sz w:val="18"/>
                <w:szCs w:val="18"/>
                <w:lang w:eastAsia="en-GB"/>
              </w:rPr>
            </w:pPr>
            <w:r w:rsidRPr="00A71BC9">
              <w:rPr>
                <w:color w:val="000000"/>
                <w:sz w:val="18"/>
                <w:szCs w:val="18"/>
                <w:lang w:eastAsia="en-GB"/>
              </w:rPr>
              <w:t>Delivered-TE project delays mean that full functionality is not available, however staffing levels have been reduced.</w:t>
            </w:r>
          </w:p>
        </w:tc>
      </w:tr>
      <w:tr w:rsidR="0022223F" w:rsidRPr="00A71BC9">
        <w:trPr>
          <w:trHeight w:val="720"/>
        </w:trPr>
        <w:tc>
          <w:tcPr>
            <w:tcW w:w="1241" w:type="dxa"/>
            <w:tcBorders>
              <w:top w:val="nil"/>
              <w:left w:val="single" w:sz="4" w:space="0" w:color="auto"/>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RES031</w:t>
            </w:r>
          </w:p>
        </w:tc>
        <w:tc>
          <w:tcPr>
            <w:tcW w:w="3859"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Reconfigure One Stop Shop to self-serve area and close F2F (face to face) advice</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-100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-190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-100</w:t>
            </w:r>
          </w:p>
        </w:tc>
        <w:tc>
          <w:tcPr>
            <w:tcW w:w="108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22223F" w:rsidRPr="00A71BC9" w:rsidRDefault="0022223F" w:rsidP="00A71BC9">
            <w:pPr>
              <w:rPr>
                <w:sz w:val="18"/>
                <w:szCs w:val="18"/>
                <w:lang w:eastAsia="en-GB"/>
              </w:rPr>
            </w:pPr>
            <w:r w:rsidRPr="00A71BC9">
              <w:rPr>
                <w:sz w:val="18"/>
                <w:szCs w:val="18"/>
                <w:lang w:eastAsia="en-GB"/>
              </w:rPr>
              <w:t>Green</w:t>
            </w:r>
          </w:p>
        </w:tc>
        <w:tc>
          <w:tcPr>
            <w:tcW w:w="4640" w:type="dxa"/>
            <w:tcBorders>
              <w:top w:val="nil"/>
              <w:left w:val="nil"/>
              <w:bottom w:val="single" w:sz="4" w:space="0" w:color="auto"/>
              <w:right w:val="single" w:sz="4" w:space="0" w:color="auto"/>
            </w:tcBorders>
          </w:tcPr>
          <w:p w:rsidR="0022223F" w:rsidRPr="00A71BC9" w:rsidRDefault="0022223F" w:rsidP="00A71BC9">
            <w:pPr>
              <w:rPr>
                <w:color w:val="000000"/>
                <w:sz w:val="18"/>
                <w:szCs w:val="18"/>
                <w:lang w:eastAsia="en-GB"/>
              </w:rPr>
            </w:pPr>
            <w:r w:rsidRPr="00A71BC9">
              <w:rPr>
                <w:color w:val="000000"/>
                <w:sz w:val="18"/>
                <w:szCs w:val="18"/>
                <w:lang w:eastAsia="en-GB"/>
              </w:rPr>
              <w:t>Delivered -Face to face appointments reduced by 61% in 2013/14 with further 20% reduction due in 2014/15.  Staff reduced in line with expectations.</w:t>
            </w:r>
          </w:p>
        </w:tc>
      </w:tr>
      <w:tr w:rsidR="0022223F" w:rsidRPr="00A71BC9">
        <w:trPr>
          <w:trHeight w:val="1200"/>
        </w:trPr>
        <w:tc>
          <w:tcPr>
            <w:tcW w:w="1241" w:type="dxa"/>
            <w:tcBorders>
              <w:top w:val="nil"/>
              <w:left w:val="single" w:sz="4" w:space="0" w:color="auto"/>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RES045</w:t>
            </w:r>
          </w:p>
        </w:tc>
        <w:tc>
          <w:tcPr>
            <w:tcW w:w="3859"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Print Contract Savings. Letting of contract for printers and photocopiers at lower cost.</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-100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22223F" w:rsidRPr="00A71BC9" w:rsidRDefault="0022223F" w:rsidP="00A71BC9">
            <w:pPr>
              <w:rPr>
                <w:sz w:val="18"/>
                <w:szCs w:val="18"/>
                <w:lang w:eastAsia="en-GB"/>
              </w:rPr>
            </w:pPr>
            <w:r w:rsidRPr="00A71BC9">
              <w:rPr>
                <w:sz w:val="18"/>
                <w:szCs w:val="18"/>
                <w:lang w:eastAsia="en-GB"/>
              </w:rPr>
              <w:t>Green</w:t>
            </w:r>
          </w:p>
        </w:tc>
        <w:tc>
          <w:tcPr>
            <w:tcW w:w="4640" w:type="dxa"/>
            <w:tcBorders>
              <w:top w:val="nil"/>
              <w:left w:val="nil"/>
              <w:bottom w:val="single" w:sz="4" w:space="0" w:color="auto"/>
              <w:right w:val="single" w:sz="4" w:space="0" w:color="auto"/>
            </w:tcBorders>
          </w:tcPr>
          <w:p w:rsidR="0022223F" w:rsidRPr="00A71BC9" w:rsidRDefault="0022223F" w:rsidP="00A71BC9">
            <w:pPr>
              <w:rPr>
                <w:color w:val="000000"/>
                <w:sz w:val="18"/>
                <w:szCs w:val="18"/>
                <w:lang w:eastAsia="en-GB"/>
              </w:rPr>
            </w:pPr>
            <w:r w:rsidRPr="00A71BC9">
              <w:rPr>
                <w:color w:val="000000"/>
                <w:sz w:val="18"/>
                <w:szCs w:val="18"/>
                <w:lang w:eastAsia="en-GB"/>
              </w:rPr>
              <w:t>Delivered - Based on the new contract. However, there is still an uncertainty around the cost of annodata decommissioning and outstanding invoices, however the expectation is that this will be covered by an accrual &amp; carry forward from 13/14.</w:t>
            </w:r>
          </w:p>
        </w:tc>
      </w:tr>
      <w:tr w:rsidR="0022223F" w:rsidRPr="00A71BC9">
        <w:trPr>
          <w:trHeight w:val="285"/>
        </w:trPr>
        <w:tc>
          <w:tcPr>
            <w:tcW w:w="1241" w:type="dxa"/>
            <w:tcBorders>
              <w:top w:val="nil"/>
              <w:left w:val="single" w:sz="4" w:space="0" w:color="auto"/>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 </w:t>
            </w:r>
          </w:p>
        </w:tc>
        <w:tc>
          <w:tcPr>
            <w:tcW w:w="3859" w:type="dxa"/>
            <w:tcBorders>
              <w:top w:val="nil"/>
              <w:left w:val="nil"/>
              <w:bottom w:val="single" w:sz="4" w:space="0" w:color="auto"/>
              <w:right w:val="single" w:sz="4" w:space="0" w:color="auto"/>
            </w:tcBorders>
            <w:vAlign w:val="center"/>
          </w:tcPr>
          <w:p w:rsidR="0022223F" w:rsidRPr="00A71BC9" w:rsidRDefault="0022223F" w:rsidP="00A71BC9">
            <w:pPr>
              <w:rPr>
                <w:b/>
                <w:bCs/>
                <w:sz w:val="18"/>
                <w:szCs w:val="18"/>
                <w:lang w:eastAsia="en-GB"/>
              </w:rPr>
            </w:pPr>
            <w:r w:rsidRPr="00A71BC9">
              <w:rPr>
                <w:b/>
                <w:bCs/>
                <w:sz w:val="18"/>
                <w:szCs w:val="18"/>
                <w:lang w:eastAsia="en-GB"/>
              </w:rPr>
              <w:t>Strategic Commissioning</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rPr>
                <w:sz w:val="18"/>
                <w:szCs w:val="18"/>
                <w:lang w:eastAsia="en-GB"/>
              </w:rPr>
            </w:pPr>
            <w:r w:rsidRPr="00A71BC9">
              <w:rPr>
                <w:sz w:val="18"/>
                <w:szCs w:val="18"/>
                <w:lang w:eastAsia="en-GB"/>
              </w:rPr>
              <w:t> </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rPr>
                <w:sz w:val="18"/>
                <w:szCs w:val="18"/>
                <w:lang w:eastAsia="en-GB"/>
              </w:rPr>
            </w:pPr>
            <w:r w:rsidRPr="00A71BC9">
              <w:rPr>
                <w:sz w:val="18"/>
                <w:szCs w:val="18"/>
                <w:lang w:eastAsia="en-GB"/>
              </w:rPr>
              <w:t> </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rPr>
                <w:sz w:val="18"/>
                <w:szCs w:val="18"/>
                <w:lang w:eastAsia="en-GB"/>
              </w:rPr>
            </w:pPr>
            <w:r w:rsidRPr="00A71BC9">
              <w:rPr>
                <w:sz w:val="18"/>
                <w:szCs w:val="18"/>
                <w:lang w:eastAsia="en-GB"/>
              </w:rPr>
              <w:t> </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rPr>
                <w:sz w:val="18"/>
                <w:szCs w:val="18"/>
                <w:lang w:eastAsia="en-GB"/>
              </w:rPr>
            </w:pPr>
            <w:r w:rsidRPr="00A71BC9">
              <w:rPr>
                <w:sz w:val="18"/>
                <w:szCs w:val="18"/>
                <w:lang w:eastAsia="en-GB"/>
              </w:rPr>
              <w:t> </w:t>
            </w:r>
          </w:p>
        </w:tc>
        <w:tc>
          <w:tcPr>
            <w:tcW w:w="4640"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 </w:t>
            </w:r>
          </w:p>
        </w:tc>
      </w:tr>
      <w:tr w:rsidR="0022223F" w:rsidRPr="00A71BC9">
        <w:trPr>
          <w:trHeight w:val="1680"/>
        </w:trPr>
        <w:tc>
          <w:tcPr>
            <w:tcW w:w="1241" w:type="dxa"/>
            <w:tcBorders>
              <w:top w:val="nil"/>
              <w:left w:val="single" w:sz="4" w:space="0" w:color="auto"/>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RES036</w:t>
            </w:r>
          </w:p>
        </w:tc>
        <w:tc>
          <w:tcPr>
            <w:tcW w:w="3859"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 xml:space="preserve">Merger of Corporate Performance Team and Service Performance Team, reducing staffing. Merging of two management posts undertaking similar specialisms across the council to one single Business Intelligence team and the delivery of the new operating model (next saving). </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-93</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22223F" w:rsidRPr="00A71BC9" w:rsidRDefault="0022223F" w:rsidP="00A71BC9">
            <w:pPr>
              <w:rPr>
                <w:sz w:val="18"/>
                <w:szCs w:val="18"/>
                <w:lang w:eastAsia="en-GB"/>
              </w:rPr>
            </w:pPr>
            <w:r w:rsidRPr="00A71BC9">
              <w:rPr>
                <w:sz w:val="18"/>
                <w:szCs w:val="18"/>
                <w:lang w:eastAsia="en-GB"/>
              </w:rPr>
              <w:t>Green</w:t>
            </w:r>
          </w:p>
        </w:tc>
        <w:tc>
          <w:tcPr>
            <w:tcW w:w="4640"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Delivered</w:t>
            </w:r>
          </w:p>
        </w:tc>
      </w:tr>
      <w:tr w:rsidR="0022223F" w:rsidRPr="00A71BC9">
        <w:trPr>
          <w:trHeight w:val="1680"/>
        </w:trPr>
        <w:tc>
          <w:tcPr>
            <w:tcW w:w="1241" w:type="dxa"/>
            <w:tcBorders>
              <w:top w:val="nil"/>
              <w:left w:val="single" w:sz="4" w:space="0" w:color="auto"/>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RES038</w:t>
            </w:r>
          </w:p>
        </w:tc>
        <w:tc>
          <w:tcPr>
            <w:tcW w:w="3859"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Performance, Research &amp; Analysis Business Case and New Operating Model Strategic Commissioning. Aggregation of posts undertaking similar specialisms across the council to one team which is then reduced to deliver the saving through a more efficient delivery of the service.</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-97</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22223F" w:rsidRPr="00A71BC9" w:rsidRDefault="0022223F" w:rsidP="00A71BC9">
            <w:pPr>
              <w:rPr>
                <w:sz w:val="18"/>
                <w:szCs w:val="18"/>
                <w:lang w:eastAsia="en-GB"/>
              </w:rPr>
            </w:pPr>
            <w:r w:rsidRPr="00A71BC9">
              <w:rPr>
                <w:sz w:val="18"/>
                <w:szCs w:val="18"/>
                <w:lang w:eastAsia="en-GB"/>
              </w:rPr>
              <w:t>Green</w:t>
            </w:r>
          </w:p>
        </w:tc>
        <w:tc>
          <w:tcPr>
            <w:tcW w:w="4640"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Delivered</w:t>
            </w:r>
          </w:p>
        </w:tc>
      </w:tr>
      <w:tr w:rsidR="0022223F" w:rsidRPr="00A71BC9">
        <w:trPr>
          <w:trHeight w:val="960"/>
        </w:trPr>
        <w:tc>
          <w:tcPr>
            <w:tcW w:w="1241" w:type="dxa"/>
            <w:tcBorders>
              <w:top w:val="nil"/>
              <w:left w:val="single" w:sz="4" w:space="0" w:color="auto"/>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RES040</w:t>
            </w:r>
          </w:p>
        </w:tc>
        <w:tc>
          <w:tcPr>
            <w:tcW w:w="3859"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Communications - reduction in number of campaigns.  This is a reduction in the contract price for the next two years agreed with Westco.</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-46</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22223F" w:rsidRPr="00A71BC9" w:rsidRDefault="0022223F" w:rsidP="00A71BC9">
            <w:pPr>
              <w:rPr>
                <w:sz w:val="18"/>
                <w:szCs w:val="18"/>
                <w:lang w:eastAsia="en-GB"/>
              </w:rPr>
            </w:pPr>
            <w:r w:rsidRPr="00A71BC9">
              <w:rPr>
                <w:sz w:val="18"/>
                <w:szCs w:val="18"/>
                <w:lang w:eastAsia="en-GB"/>
              </w:rPr>
              <w:t>Green</w:t>
            </w:r>
          </w:p>
        </w:tc>
        <w:tc>
          <w:tcPr>
            <w:tcW w:w="4640"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Delivered</w:t>
            </w:r>
          </w:p>
        </w:tc>
      </w:tr>
      <w:tr w:rsidR="0022223F" w:rsidRPr="00A71BC9">
        <w:trPr>
          <w:trHeight w:val="285"/>
        </w:trPr>
        <w:tc>
          <w:tcPr>
            <w:tcW w:w="1241" w:type="dxa"/>
            <w:tcBorders>
              <w:top w:val="nil"/>
              <w:left w:val="single" w:sz="4" w:space="0" w:color="auto"/>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 </w:t>
            </w:r>
          </w:p>
        </w:tc>
        <w:tc>
          <w:tcPr>
            <w:tcW w:w="3859" w:type="dxa"/>
            <w:tcBorders>
              <w:top w:val="nil"/>
              <w:left w:val="nil"/>
              <w:bottom w:val="single" w:sz="4" w:space="0" w:color="auto"/>
              <w:right w:val="single" w:sz="4" w:space="0" w:color="auto"/>
            </w:tcBorders>
            <w:vAlign w:val="center"/>
          </w:tcPr>
          <w:p w:rsidR="0022223F" w:rsidRPr="00A71BC9" w:rsidRDefault="0022223F" w:rsidP="00A71BC9">
            <w:pPr>
              <w:rPr>
                <w:b/>
                <w:bCs/>
                <w:sz w:val="18"/>
                <w:szCs w:val="18"/>
                <w:lang w:eastAsia="en-GB"/>
              </w:rPr>
            </w:pPr>
            <w:r w:rsidRPr="00A71BC9">
              <w:rPr>
                <w:b/>
                <w:bCs/>
                <w:sz w:val="18"/>
                <w:szCs w:val="18"/>
                <w:lang w:eastAsia="en-GB"/>
              </w:rPr>
              <w:t>HRD</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rPr>
                <w:sz w:val="18"/>
                <w:szCs w:val="18"/>
                <w:lang w:eastAsia="en-GB"/>
              </w:rPr>
            </w:pPr>
            <w:r w:rsidRPr="00A71BC9">
              <w:rPr>
                <w:sz w:val="18"/>
                <w:szCs w:val="18"/>
                <w:lang w:eastAsia="en-GB"/>
              </w:rPr>
              <w:t> </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rPr>
                <w:sz w:val="18"/>
                <w:szCs w:val="18"/>
                <w:lang w:eastAsia="en-GB"/>
              </w:rPr>
            </w:pPr>
            <w:r w:rsidRPr="00A71BC9">
              <w:rPr>
                <w:sz w:val="18"/>
                <w:szCs w:val="18"/>
                <w:lang w:eastAsia="en-GB"/>
              </w:rPr>
              <w:t> </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rPr>
                <w:sz w:val="18"/>
                <w:szCs w:val="18"/>
                <w:lang w:eastAsia="en-GB"/>
              </w:rPr>
            </w:pPr>
            <w:r w:rsidRPr="00A71BC9">
              <w:rPr>
                <w:sz w:val="18"/>
                <w:szCs w:val="18"/>
                <w:lang w:eastAsia="en-GB"/>
              </w:rPr>
              <w:t> </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rPr>
                <w:sz w:val="18"/>
                <w:szCs w:val="18"/>
                <w:lang w:eastAsia="en-GB"/>
              </w:rPr>
            </w:pPr>
            <w:r w:rsidRPr="00A71BC9">
              <w:rPr>
                <w:sz w:val="18"/>
                <w:szCs w:val="18"/>
                <w:lang w:eastAsia="en-GB"/>
              </w:rPr>
              <w:t> </w:t>
            </w:r>
          </w:p>
        </w:tc>
        <w:tc>
          <w:tcPr>
            <w:tcW w:w="4640"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 </w:t>
            </w:r>
          </w:p>
        </w:tc>
      </w:tr>
      <w:tr w:rsidR="0022223F" w:rsidRPr="00A71BC9">
        <w:trPr>
          <w:trHeight w:val="285"/>
        </w:trPr>
        <w:tc>
          <w:tcPr>
            <w:tcW w:w="1241" w:type="dxa"/>
            <w:tcBorders>
              <w:top w:val="nil"/>
              <w:left w:val="single" w:sz="4" w:space="0" w:color="auto"/>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RES042</w:t>
            </w:r>
          </w:p>
        </w:tc>
        <w:tc>
          <w:tcPr>
            <w:tcW w:w="3859"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Reduction in HRD posts. Deletion of 2 posts.</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-75</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22223F" w:rsidRPr="00A71BC9" w:rsidRDefault="0022223F" w:rsidP="00A71BC9">
            <w:pPr>
              <w:rPr>
                <w:sz w:val="18"/>
                <w:szCs w:val="18"/>
                <w:lang w:eastAsia="en-GB"/>
              </w:rPr>
            </w:pPr>
            <w:r w:rsidRPr="00A71BC9">
              <w:rPr>
                <w:sz w:val="18"/>
                <w:szCs w:val="18"/>
                <w:lang w:eastAsia="en-GB"/>
              </w:rPr>
              <w:t>Green</w:t>
            </w:r>
          </w:p>
        </w:tc>
        <w:tc>
          <w:tcPr>
            <w:tcW w:w="4640"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On target</w:t>
            </w:r>
          </w:p>
        </w:tc>
      </w:tr>
      <w:tr w:rsidR="0022223F" w:rsidRPr="00A71BC9">
        <w:trPr>
          <w:trHeight w:val="1200"/>
        </w:trPr>
        <w:tc>
          <w:tcPr>
            <w:tcW w:w="1241" w:type="dxa"/>
            <w:tcBorders>
              <w:top w:val="nil"/>
              <w:left w:val="single" w:sz="4" w:space="0" w:color="auto"/>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RES046</w:t>
            </w:r>
          </w:p>
        </w:tc>
        <w:tc>
          <w:tcPr>
            <w:tcW w:w="3859"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Cessation of External recruitment Advertising. Reduce the volume of recruitment advertising in journals and papers and increase use of internet advertising including the council's own site</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-75</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22223F" w:rsidRPr="00A71BC9" w:rsidRDefault="0022223F" w:rsidP="00A71BC9">
            <w:pPr>
              <w:rPr>
                <w:sz w:val="18"/>
                <w:szCs w:val="18"/>
                <w:lang w:eastAsia="en-GB"/>
              </w:rPr>
            </w:pPr>
            <w:r w:rsidRPr="00A71BC9">
              <w:rPr>
                <w:sz w:val="18"/>
                <w:szCs w:val="18"/>
                <w:lang w:eastAsia="en-GB"/>
              </w:rPr>
              <w:t>Green</w:t>
            </w:r>
          </w:p>
        </w:tc>
        <w:tc>
          <w:tcPr>
            <w:tcW w:w="4640"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On target to Deliver</w:t>
            </w:r>
          </w:p>
        </w:tc>
      </w:tr>
      <w:tr w:rsidR="0022223F" w:rsidRPr="00A71BC9">
        <w:trPr>
          <w:trHeight w:val="285"/>
        </w:trPr>
        <w:tc>
          <w:tcPr>
            <w:tcW w:w="1241" w:type="dxa"/>
            <w:tcBorders>
              <w:top w:val="nil"/>
              <w:left w:val="single" w:sz="4" w:space="0" w:color="auto"/>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 </w:t>
            </w:r>
          </w:p>
        </w:tc>
        <w:tc>
          <w:tcPr>
            <w:tcW w:w="3859" w:type="dxa"/>
            <w:tcBorders>
              <w:top w:val="nil"/>
              <w:left w:val="nil"/>
              <w:bottom w:val="single" w:sz="4" w:space="0" w:color="auto"/>
              <w:right w:val="single" w:sz="4" w:space="0" w:color="auto"/>
            </w:tcBorders>
            <w:vAlign w:val="center"/>
          </w:tcPr>
          <w:p w:rsidR="0022223F" w:rsidRPr="00A71BC9" w:rsidRDefault="0022223F" w:rsidP="00A71BC9">
            <w:pPr>
              <w:rPr>
                <w:b/>
                <w:bCs/>
                <w:sz w:val="18"/>
                <w:szCs w:val="18"/>
                <w:lang w:eastAsia="en-GB"/>
              </w:rPr>
            </w:pPr>
            <w:r w:rsidRPr="00A71BC9">
              <w:rPr>
                <w:b/>
                <w:bCs/>
                <w:sz w:val="18"/>
                <w:szCs w:val="18"/>
                <w:lang w:eastAsia="en-GB"/>
              </w:rPr>
              <w:t>Internal Audit</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rPr>
                <w:sz w:val="18"/>
                <w:szCs w:val="18"/>
                <w:lang w:eastAsia="en-GB"/>
              </w:rPr>
            </w:pPr>
            <w:r w:rsidRPr="00A71BC9">
              <w:rPr>
                <w:sz w:val="18"/>
                <w:szCs w:val="18"/>
                <w:lang w:eastAsia="en-GB"/>
              </w:rPr>
              <w:t> </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rPr>
                <w:sz w:val="18"/>
                <w:szCs w:val="18"/>
                <w:lang w:eastAsia="en-GB"/>
              </w:rPr>
            </w:pPr>
            <w:r w:rsidRPr="00A71BC9">
              <w:rPr>
                <w:sz w:val="18"/>
                <w:szCs w:val="18"/>
                <w:lang w:eastAsia="en-GB"/>
              </w:rPr>
              <w:t> </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rPr>
                <w:sz w:val="18"/>
                <w:szCs w:val="18"/>
                <w:lang w:eastAsia="en-GB"/>
              </w:rPr>
            </w:pPr>
            <w:r w:rsidRPr="00A71BC9">
              <w:rPr>
                <w:sz w:val="18"/>
                <w:szCs w:val="18"/>
                <w:lang w:eastAsia="en-GB"/>
              </w:rPr>
              <w:t> </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rPr>
                <w:sz w:val="18"/>
                <w:szCs w:val="18"/>
                <w:lang w:eastAsia="en-GB"/>
              </w:rPr>
            </w:pPr>
            <w:r w:rsidRPr="00A71BC9">
              <w:rPr>
                <w:sz w:val="18"/>
                <w:szCs w:val="18"/>
                <w:lang w:eastAsia="en-GB"/>
              </w:rPr>
              <w:t> </w:t>
            </w:r>
          </w:p>
        </w:tc>
        <w:tc>
          <w:tcPr>
            <w:tcW w:w="4640"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 </w:t>
            </w:r>
          </w:p>
        </w:tc>
      </w:tr>
      <w:tr w:rsidR="0022223F" w:rsidRPr="00A71BC9">
        <w:trPr>
          <w:trHeight w:val="720"/>
        </w:trPr>
        <w:tc>
          <w:tcPr>
            <w:tcW w:w="1241" w:type="dxa"/>
            <w:tcBorders>
              <w:top w:val="nil"/>
              <w:left w:val="single" w:sz="4" w:space="0" w:color="auto"/>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RES048</w:t>
            </w:r>
          </w:p>
        </w:tc>
        <w:tc>
          <w:tcPr>
            <w:tcW w:w="3859"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Reduce co-sourcing budget. Reduce the use of external partners to provide specialist support to audit.</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-16</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22223F" w:rsidRPr="00A71BC9" w:rsidRDefault="0022223F" w:rsidP="00A71BC9">
            <w:pPr>
              <w:rPr>
                <w:sz w:val="18"/>
                <w:szCs w:val="18"/>
                <w:lang w:eastAsia="en-GB"/>
              </w:rPr>
            </w:pPr>
            <w:r w:rsidRPr="00A71BC9">
              <w:rPr>
                <w:sz w:val="18"/>
                <w:szCs w:val="18"/>
                <w:lang w:eastAsia="en-GB"/>
              </w:rPr>
              <w:t>Green</w:t>
            </w:r>
          </w:p>
        </w:tc>
        <w:tc>
          <w:tcPr>
            <w:tcW w:w="4640"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Delivered</w:t>
            </w:r>
          </w:p>
        </w:tc>
      </w:tr>
      <w:tr w:rsidR="0022223F" w:rsidRPr="00A71BC9">
        <w:trPr>
          <w:trHeight w:val="285"/>
        </w:trPr>
        <w:tc>
          <w:tcPr>
            <w:tcW w:w="1241" w:type="dxa"/>
            <w:tcBorders>
              <w:top w:val="nil"/>
              <w:left w:val="single" w:sz="4" w:space="0" w:color="auto"/>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 </w:t>
            </w:r>
          </w:p>
        </w:tc>
        <w:tc>
          <w:tcPr>
            <w:tcW w:w="3859" w:type="dxa"/>
            <w:tcBorders>
              <w:top w:val="nil"/>
              <w:left w:val="nil"/>
              <w:bottom w:val="single" w:sz="4" w:space="0" w:color="auto"/>
              <w:right w:val="single" w:sz="4" w:space="0" w:color="auto"/>
            </w:tcBorders>
            <w:vAlign w:val="center"/>
          </w:tcPr>
          <w:p w:rsidR="0022223F" w:rsidRPr="00A71BC9" w:rsidRDefault="0022223F" w:rsidP="00A71BC9">
            <w:pPr>
              <w:rPr>
                <w:b/>
                <w:bCs/>
                <w:sz w:val="18"/>
                <w:szCs w:val="18"/>
                <w:lang w:eastAsia="en-GB"/>
              </w:rPr>
            </w:pPr>
            <w:r w:rsidRPr="00A71BC9">
              <w:rPr>
                <w:b/>
                <w:bCs/>
                <w:sz w:val="18"/>
                <w:szCs w:val="18"/>
                <w:lang w:eastAsia="en-GB"/>
              </w:rPr>
              <w:t>Insurance Service</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rPr>
                <w:sz w:val="18"/>
                <w:szCs w:val="18"/>
                <w:lang w:eastAsia="en-GB"/>
              </w:rPr>
            </w:pPr>
            <w:r w:rsidRPr="00A71BC9">
              <w:rPr>
                <w:sz w:val="18"/>
                <w:szCs w:val="18"/>
                <w:lang w:eastAsia="en-GB"/>
              </w:rPr>
              <w:t> </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rPr>
                <w:sz w:val="18"/>
                <w:szCs w:val="18"/>
                <w:lang w:eastAsia="en-GB"/>
              </w:rPr>
            </w:pPr>
            <w:r w:rsidRPr="00A71BC9">
              <w:rPr>
                <w:sz w:val="18"/>
                <w:szCs w:val="18"/>
                <w:lang w:eastAsia="en-GB"/>
              </w:rPr>
              <w:t> </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rPr>
                <w:sz w:val="18"/>
                <w:szCs w:val="18"/>
                <w:lang w:eastAsia="en-GB"/>
              </w:rPr>
            </w:pPr>
            <w:r w:rsidRPr="00A71BC9">
              <w:rPr>
                <w:sz w:val="18"/>
                <w:szCs w:val="18"/>
                <w:lang w:eastAsia="en-GB"/>
              </w:rPr>
              <w:t> </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rPr>
                <w:sz w:val="18"/>
                <w:szCs w:val="18"/>
                <w:lang w:eastAsia="en-GB"/>
              </w:rPr>
            </w:pPr>
            <w:r w:rsidRPr="00A71BC9">
              <w:rPr>
                <w:sz w:val="18"/>
                <w:szCs w:val="18"/>
                <w:lang w:eastAsia="en-GB"/>
              </w:rPr>
              <w:t> </w:t>
            </w:r>
          </w:p>
        </w:tc>
        <w:tc>
          <w:tcPr>
            <w:tcW w:w="4640"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 </w:t>
            </w:r>
          </w:p>
        </w:tc>
      </w:tr>
      <w:tr w:rsidR="0022223F" w:rsidRPr="00A71BC9">
        <w:trPr>
          <w:trHeight w:val="720"/>
        </w:trPr>
        <w:tc>
          <w:tcPr>
            <w:tcW w:w="1241" w:type="dxa"/>
            <w:tcBorders>
              <w:top w:val="nil"/>
              <w:left w:val="single" w:sz="4" w:space="0" w:color="auto"/>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RES053</w:t>
            </w:r>
          </w:p>
        </w:tc>
        <w:tc>
          <w:tcPr>
            <w:tcW w:w="3859"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Reduced broker fees through more in-house handling and increased income on third party insurance schemes</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-3</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22223F" w:rsidRPr="00A71BC9" w:rsidRDefault="0022223F" w:rsidP="00A71BC9">
            <w:pPr>
              <w:rPr>
                <w:sz w:val="18"/>
                <w:szCs w:val="18"/>
                <w:lang w:eastAsia="en-GB"/>
              </w:rPr>
            </w:pPr>
            <w:r w:rsidRPr="00A71BC9">
              <w:rPr>
                <w:sz w:val="18"/>
                <w:szCs w:val="18"/>
                <w:lang w:eastAsia="en-GB"/>
              </w:rPr>
              <w:t>Green</w:t>
            </w:r>
          </w:p>
        </w:tc>
        <w:tc>
          <w:tcPr>
            <w:tcW w:w="4640" w:type="dxa"/>
            <w:tcBorders>
              <w:top w:val="nil"/>
              <w:left w:val="nil"/>
              <w:bottom w:val="single" w:sz="4" w:space="0" w:color="auto"/>
              <w:right w:val="single" w:sz="4" w:space="0" w:color="auto"/>
            </w:tcBorders>
          </w:tcPr>
          <w:p w:rsidR="0022223F" w:rsidRPr="00A71BC9" w:rsidRDefault="0022223F" w:rsidP="00A71BC9">
            <w:pPr>
              <w:rPr>
                <w:color w:val="000000"/>
                <w:sz w:val="18"/>
                <w:szCs w:val="18"/>
                <w:lang w:eastAsia="en-GB"/>
              </w:rPr>
            </w:pPr>
            <w:r w:rsidRPr="00A71BC9">
              <w:rPr>
                <w:color w:val="000000"/>
                <w:sz w:val="18"/>
                <w:szCs w:val="18"/>
                <w:lang w:eastAsia="en-GB"/>
              </w:rPr>
              <w:t>On target through increased handling of injury claims in-house.  Current savings in 2014/15 £4,268.</w:t>
            </w:r>
          </w:p>
        </w:tc>
      </w:tr>
      <w:tr w:rsidR="0022223F" w:rsidRPr="00A71BC9">
        <w:trPr>
          <w:trHeight w:val="480"/>
        </w:trPr>
        <w:tc>
          <w:tcPr>
            <w:tcW w:w="1241" w:type="dxa"/>
            <w:tcBorders>
              <w:top w:val="nil"/>
              <w:left w:val="single" w:sz="4" w:space="0" w:color="auto"/>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RES058</w:t>
            </w:r>
          </w:p>
        </w:tc>
        <w:tc>
          <w:tcPr>
            <w:tcW w:w="3859"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Deletion of Corporate Risk Management Support Service. Deletion of post in 2013.</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-30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22223F" w:rsidRPr="00A71BC9" w:rsidRDefault="0022223F" w:rsidP="00A71BC9">
            <w:pPr>
              <w:rPr>
                <w:sz w:val="18"/>
                <w:szCs w:val="18"/>
                <w:lang w:eastAsia="en-GB"/>
              </w:rPr>
            </w:pPr>
            <w:r w:rsidRPr="00A71BC9">
              <w:rPr>
                <w:sz w:val="18"/>
                <w:szCs w:val="18"/>
                <w:lang w:eastAsia="en-GB"/>
              </w:rPr>
              <w:t>Green</w:t>
            </w:r>
          </w:p>
        </w:tc>
        <w:tc>
          <w:tcPr>
            <w:tcW w:w="4640"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Delivered</w:t>
            </w:r>
          </w:p>
        </w:tc>
      </w:tr>
      <w:tr w:rsidR="0022223F" w:rsidRPr="00A71BC9">
        <w:trPr>
          <w:trHeight w:val="2640"/>
        </w:trPr>
        <w:tc>
          <w:tcPr>
            <w:tcW w:w="1241" w:type="dxa"/>
            <w:tcBorders>
              <w:top w:val="nil"/>
              <w:left w:val="single" w:sz="4" w:space="0" w:color="auto"/>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RES059</w:t>
            </w:r>
          </w:p>
        </w:tc>
        <w:tc>
          <w:tcPr>
            <w:tcW w:w="3859"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Cross Council Insurance Claims. Reduce cost of insurance claims against the Council by better risk management.</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-70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22223F" w:rsidRPr="00A71BC9" w:rsidRDefault="0022223F" w:rsidP="00A71BC9">
            <w:pPr>
              <w:rPr>
                <w:sz w:val="18"/>
                <w:szCs w:val="18"/>
                <w:lang w:eastAsia="en-GB"/>
              </w:rPr>
            </w:pPr>
            <w:r w:rsidRPr="00A71BC9">
              <w:rPr>
                <w:sz w:val="18"/>
                <w:szCs w:val="18"/>
                <w:lang w:eastAsia="en-GB"/>
              </w:rPr>
              <w:t>Green</w:t>
            </w:r>
          </w:p>
        </w:tc>
        <w:tc>
          <w:tcPr>
            <w:tcW w:w="4640"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 xml:space="preserve">On target through several initiatives: 1) A pro-active approach to injury claims handled in-house is resulting in fewer claimants resorting to instructing solicitors.  In 2013/14 there were seven such claims delivering typical savings of £10k per claim. 2) Joint working with Health &amp; Safety and Waste Management has resulted in funding being made available for four way cameras on the refuse fleet, which is expected to lead to claim savings.3) A project is underway to mitigate the cost of tree root claims against the Council. </w:t>
            </w:r>
          </w:p>
        </w:tc>
      </w:tr>
      <w:tr w:rsidR="0022223F" w:rsidRPr="00A71BC9">
        <w:trPr>
          <w:trHeight w:val="960"/>
        </w:trPr>
        <w:tc>
          <w:tcPr>
            <w:tcW w:w="1241" w:type="dxa"/>
            <w:tcBorders>
              <w:top w:val="nil"/>
              <w:left w:val="single" w:sz="4" w:space="0" w:color="auto"/>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RES060</w:t>
            </w:r>
          </w:p>
        </w:tc>
        <w:tc>
          <w:tcPr>
            <w:tcW w:w="3859"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Reduced Contribution to Insurance Provision. Reduce cost of insurance claims against the Council by better risk management.</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-100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22223F" w:rsidRPr="00A71BC9" w:rsidRDefault="0022223F" w:rsidP="00A71BC9">
            <w:pPr>
              <w:rPr>
                <w:sz w:val="18"/>
                <w:szCs w:val="18"/>
                <w:lang w:eastAsia="en-GB"/>
              </w:rPr>
            </w:pPr>
            <w:r w:rsidRPr="00A71BC9">
              <w:rPr>
                <w:sz w:val="18"/>
                <w:szCs w:val="18"/>
                <w:lang w:eastAsia="en-GB"/>
              </w:rPr>
              <w:t>Green</w:t>
            </w:r>
          </w:p>
        </w:tc>
        <w:tc>
          <w:tcPr>
            <w:tcW w:w="4640"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On target</w:t>
            </w:r>
          </w:p>
        </w:tc>
      </w:tr>
      <w:tr w:rsidR="0022223F" w:rsidRPr="00A71BC9">
        <w:trPr>
          <w:trHeight w:val="285"/>
        </w:trPr>
        <w:tc>
          <w:tcPr>
            <w:tcW w:w="1241" w:type="dxa"/>
            <w:tcBorders>
              <w:top w:val="nil"/>
              <w:left w:val="single" w:sz="4" w:space="0" w:color="auto"/>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 </w:t>
            </w:r>
          </w:p>
        </w:tc>
        <w:tc>
          <w:tcPr>
            <w:tcW w:w="3859" w:type="dxa"/>
            <w:tcBorders>
              <w:top w:val="nil"/>
              <w:left w:val="nil"/>
              <w:bottom w:val="single" w:sz="4" w:space="0" w:color="auto"/>
              <w:right w:val="single" w:sz="4" w:space="0" w:color="auto"/>
            </w:tcBorders>
            <w:vAlign w:val="center"/>
          </w:tcPr>
          <w:p w:rsidR="0022223F" w:rsidRPr="00A71BC9" w:rsidRDefault="0022223F" w:rsidP="00A71BC9">
            <w:pPr>
              <w:rPr>
                <w:b/>
                <w:bCs/>
                <w:sz w:val="18"/>
                <w:szCs w:val="18"/>
                <w:lang w:eastAsia="en-GB"/>
              </w:rPr>
            </w:pPr>
            <w:r w:rsidRPr="00A71BC9">
              <w:rPr>
                <w:b/>
                <w:bCs/>
                <w:sz w:val="18"/>
                <w:szCs w:val="18"/>
                <w:lang w:eastAsia="en-GB"/>
              </w:rPr>
              <w:t>Legal &amp; Governance</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rPr>
                <w:sz w:val="18"/>
                <w:szCs w:val="18"/>
                <w:lang w:eastAsia="en-GB"/>
              </w:rPr>
            </w:pPr>
            <w:r w:rsidRPr="00A71BC9">
              <w:rPr>
                <w:sz w:val="18"/>
                <w:szCs w:val="18"/>
                <w:lang w:eastAsia="en-GB"/>
              </w:rPr>
              <w:t> </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rPr>
                <w:sz w:val="18"/>
                <w:szCs w:val="18"/>
                <w:lang w:eastAsia="en-GB"/>
              </w:rPr>
            </w:pPr>
            <w:r w:rsidRPr="00A71BC9">
              <w:rPr>
                <w:sz w:val="18"/>
                <w:szCs w:val="18"/>
                <w:lang w:eastAsia="en-GB"/>
              </w:rPr>
              <w:t> </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rPr>
                <w:sz w:val="18"/>
                <w:szCs w:val="18"/>
                <w:lang w:eastAsia="en-GB"/>
              </w:rPr>
            </w:pPr>
            <w:r w:rsidRPr="00A71BC9">
              <w:rPr>
                <w:sz w:val="18"/>
                <w:szCs w:val="18"/>
                <w:lang w:eastAsia="en-GB"/>
              </w:rPr>
              <w:t> </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rPr>
                <w:sz w:val="18"/>
                <w:szCs w:val="18"/>
                <w:lang w:eastAsia="en-GB"/>
              </w:rPr>
            </w:pPr>
            <w:r w:rsidRPr="00A71BC9">
              <w:rPr>
                <w:sz w:val="18"/>
                <w:szCs w:val="18"/>
                <w:lang w:eastAsia="en-GB"/>
              </w:rPr>
              <w:t> </w:t>
            </w:r>
          </w:p>
        </w:tc>
        <w:tc>
          <w:tcPr>
            <w:tcW w:w="4640"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 </w:t>
            </w:r>
          </w:p>
        </w:tc>
      </w:tr>
      <w:tr w:rsidR="0022223F" w:rsidRPr="00A71BC9">
        <w:trPr>
          <w:trHeight w:val="480"/>
        </w:trPr>
        <w:tc>
          <w:tcPr>
            <w:tcW w:w="1241" w:type="dxa"/>
            <w:tcBorders>
              <w:top w:val="nil"/>
              <w:left w:val="single" w:sz="4" w:space="0" w:color="auto"/>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RES068</w:t>
            </w:r>
          </w:p>
        </w:tc>
        <w:tc>
          <w:tcPr>
            <w:tcW w:w="3859"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E-canvass Project. Reduced staffing following electronic canvas.</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-20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22223F" w:rsidRPr="00A71BC9" w:rsidRDefault="0022223F" w:rsidP="00A71BC9">
            <w:pPr>
              <w:rPr>
                <w:sz w:val="18"/>
                <w:szCs w:val="18"/>
                <w:lang w:eastAsia="en-GB"/>
              </w:rPr>
            </w:pPr>
            <w:r w:rsidRPr="00A71BC9">
              <w:rPr>
                <w:sz w:val="18"/>
                <w:szCs w:val="18"/>
                <w:lang w:eastAsia="en-GB"/>
              </w:rPr>
              <w:t>Green</w:t>
            </w:r>
          </w:p>
        </w:tc>
        <w:tc>
          <w:tcPr>
            <w:tcW w:w="4640"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waiting for commentary from department</w:t>
            </w:r>
          </w:p>
        </w:tc>
      </w:tr>
      <w:tr w:rsidR="0022223F" w:rsidRPr="00A71BC9">
        <w:trPr>
          <w:trHeight w:val="960"/>
        </w:trPr>
        <w:tc>
          <w:tcPr>
            <w:tcW w:w="1241" w:type="dxa"/>
            <w:tcBorders>
              <w:top w:val="nil"/>
              <w:left w:val="single" w:sz="4" w:space="0" w:color="auto"/>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RES072</w:t>
            </w:r>
          </w:p>
        </w:tc>
        <w:tc>
          <w:tcPr>
            <w:tcW w:w="3859"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Increase to Registrars Fee Income Target. Income budget reduced in 2012-13 to reflect actual received, additional income to be received from 2013-14.</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-100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22223F" w:rsidRPr="00A71BC9" w:rsidRDefault="0022223F" w:rsidP="00A71BC9">
            <w:pPr>
              <w:rPr>
                <w:sz w:val="18"/>
                <w:szCs w:val="18"/>
                <w:lang w:eastAsia="en-GB"/>
              </w:rPr>
            </w:pPr>
            <w:r w:rsidRPr="00A71BC9">
              <w:rPr>
                <w:sz w:val="18"/>
                <w:szCs w:val="18"/>
                <w:lang w:eastAsia="en-GB"/>
              </w:rPr>
              <w:t>Green</w:t>
            </w:r>
          </w:p>
        </w:tc>
        <w:tc>
          <w:tcPr>
            <w:tcW w:w="4640"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waiting for commentary from department</w:t>
            </w:r>
          </w:p>
        </w:tc>
      </w:tr>
      <w:tr w:rsidR="0022223F" w:rsidRPr="00A71BC9">
        <w:trPr>
          <w:trHeight w:val="285"/>
        </w:trPr>
        <w:tc>
          <w:tcPr>
            <w:tcW w:w="1241" w:type="dxa"/>
            <w:tcBorders>
              <w:top w:val="nil"/>
              <w:left w:val="single" w:sz="4" w:space="0" w:color="auto"/>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 </w:t>
            </w:r>
          </w:p>
        </w:tc>
        <w:tc>
          <w:tcPr>
            <w:tcW w:w="3859" w:type="dxa"/>
            <w:tcBorders>
              <w:top w:val="nil"/>
              <w:left w:val="nil"/>
              <w:bottom w:val="single" w:sz="4" w:space="0" w:color="auto"/>
              <w:right w:val="single" w:sz="4" w:space="0" w:color="auto"/>
            </w:tcBorders>
            <w:vAlign w:val="center"/>
          </w:tcPr>
          <w:p w:rsidR="0022223F" w:rsidRPr="00A71BC9" w:rsidRDefault="0022223F" w:rsidP="00A71BC9">
            <w:pPr>
              <w:rPr>
                <w:b/>
                <w:bCs/>
                <w:sz w:val="18"/>
                <w:szCs w:val="18"/>
                <w:lang w:eastAsia="en-GB"/>
              </w:rPr>
            </w:pPr>
            <w:r w:rsidRPr="00A71BC9">
              <w:rPr>
                <w:b/>
                <w:bCs/>
                <w:sz w:val="18"/>
                <w:szCs w:val="18"/>
                <w:lang w:eastAsia="en-GB"/>
              </w:rPr>
              <w:t>Corporate Finance</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rPr>
                <w:sz w:val="18"/>
                <w:szCs w:val="18"/>
                <w:lang w:eastAsia="en-GB"/>
              </w:rPr>
            </w:pPr>
            <w:r w:rsidRPr="00A71BC9">
              <w:rPr>
                <w:sz w:val="18"/>
                <w:szCs w:val="18"/>
                <w:lang w:eastAsia="en-GB"/>
              </w:rPr>
              <w:t> </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rPr>
                <w:sz w:val="18"/>
                <w:szCs w:val="18"/>
                <w:lang w:eastAsia="en-GB"/>
              </w:rPr>
            </w:pPr>
            <w:r w:rsidRPr="00A71BC9">
              <w:rPr>
                <w:sz w:val="18"/>
                <w:szCs w:val="18"/>
                <w:lang w:eastAsia="en-GB"/>
              </w:rPr>
              <w:t> </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rPr>
                <w:sz w:val="18"/>
                <w:szCs w:val="18"/>
                <w:lang w:eastAsia="en-GB"/>
              </w:rPr>
            </w:pPr>
            <w:r w:rsidRPr="00A71BC9">
              <w:rPr>
                <w:sz w:val="18"/>
                <w:szCs w:val="18"/>
                <w:lang w:eastAsia="en-GB"/>
              </w:rPr>
              <w:t> </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rPr>
                <w:sz w:val="18"/>
                <w:szCs w:val="18"/>
                <w:lang w:eastAsia="en-GB"/>
              </w:rPr>
            </w:pPr>
            <w:r w:rsidRPr="00A71BC9">
              <w:rPr>
                <w:sz w:val="18"/>
                <w:szCs w:val="18"/>
                <w:lang w:eastAsia="en-GB"/>
              </w:rPr>
              <w:t> </w:t>
            </w:r>
          </w:p>
        </w:tc>
        <w:tc>
          <w:tcPr>
            <w:tcW w:w="4640"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 </w:t>
            </w:r>
          </w:p>
        </w:tc>
      </w:tr>
      <w:tr w:rsidR="0022223F" w:rsidRPr="00A71BC9">
        <w:trPr>
          <w:trHeight w:val="480"/>
        </w:trPr>
        <w:tc>
          <w:tcPr>
            <w:tcW w:w="1241" w:type="dxa"/>
            <w:tcBorders>
              <w:top w:val="nil"/>
              <w:left w:val="single" w:sz="4" w:space="0" w:color="auto"/>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RES073</w:t>
            </w:r>
          </w:p>
        </w:tc>
        <w:tc>
          <w:tcPr>
            <w:tcW w:w="3859"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Finance restructure.  Reduced staff costs.</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-300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22223F" w:rsidRPr="00A71BC9" w:rsidRDefault="0022223F" w:rsidP="00A71BC9">
            <w:pPr>
              <w:rPr>
                <w:sz w:val="18"/>
                <w:szCs w:val="18"/>
                <w:lang w:eastAsia="en-GB"/>
              </w:rPr>
            </w:pPr>
            <w:r w:rsidRPr="00A71BC9">
              <w:rPr>
                <w:sz w:val="18"/>
                <w:szCs w:val="18"/>
                <w:lang w:eastAsia="en-GB"/>
              </w:rPr>
              <w:t>Green</w:t>
            </w:r>
          </w:p>
        </w:tc>
        <w:tc>
          <w:tcPr>
            <w:tcW w:w="4640"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Saving has been built into the budget and saving is on track to be delivered in full.</w:t>
            </w:r>
          </w:p>
        </w:tc>
      </w:tr>
      <w:tr w:rsidR="0022223F" w:rsidRPr="00A71BC9">
        <w:trPr>
          <w:trHeight w:val="285"/>
        </w:trPr>
        <w:tc>
          <w:tcPr>
            <w:tcW w:w="1241" w:type="dxa"/>
            <w:tcBorders>
              <w:top w:val="nil"/>
              <w:left w:val="single" w:sz="4" w:space="0" w:color="auto"/>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 </w:t>
            </w:r>
          </w:p>
        </w:tc>
        <w:tc>
          <w:tcPr>
            <w:tcW w:w="3859" w:type="dxa"/>
            <w:tcBorders>
              <w:top w:val="nil"/>
              <w:left w:val="nil"/>
              <w:bottom w:val="single" w:sz="4" w:space="0" w:color="auto"/>
              <w:right w:val="single" w:sz="4" w:space="0" w:color="auto"/>
            </w:tcBorders>
            <w:vAlign w:val="center"/>
          </w:tcPr>
          <w:p w:rsidR="0022223F" w:rsidRPr="00A71BC9" w:rsidRDefault="0022223F" w:rsidP="00A71BC9">
            <w:pPr>
              <w:rPr>
                <w:b/>
                <w:bCs/>
                <w:sz w:val="18"/>
                <w:szCs w:val="18"/>
                <w:lang w:eastAsia="en-GB"/>
              </w:rPr>
            </w:pPr>
            <w:r w:rsidRPr="00A71BC9">
              <w:rPr>
                <w:b/>
                <w:bCs/>
                <w:sz w:val="18"/>
                <w:szCs w:val="18"/>
                <w:lang w:eastAsia="en-GB"/>
              </w:rPr>
              <w:t>Collections and Benefits</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rPr>
                <w:sz w:val="18"/>
                <w:szCs w:val="18"/>
                <w:lang w:eastAsia="en-GB"/>
              </w:rPr>
            </w:pPr>
            <w:r w:rsidRPr="00A71BC9">
              <w:rPr>
                <w:sz w:val="18"/>
                <w:szCs w:val="18"/>
                <w:lang w:eastAsia="en-GB"/>
              </w:rPr>
              <w:t> </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rPr>
                <w:sz w:val="18"/>
                <w:szCs w:val="18"/>
                <w:lang w:eastAsia="en-GB"/>
              </w:rPr>
            </w:pPr>
            <w:r w:rsidRPr="00A71BC9">
              <w:rPr>
                <w:sz w:val="18"/>
                <w:szCs w:val="18"/>
                <w:lang w:eastAsia="en-GB"/>
              </w:rPr>
              <w:t> </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rPr>
                <w:sz w:val="18"/>
                <w:szCs w:val="18"/>
                <w:lang w:eastAsia="en-GB"/>
              </w:rPr>
            </w:pPr>
            <w:r w:rsidRPr="00A71BC9">
              <w:rPr>
                <w:sz w:val="18"/>
                <w:szCs w:val="18"/>
                <w:lang w:eastAsia="en-GB"/>
              </w:rPr>
              <w:t> </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rPr>
                <w:sz w:val="18"/>
                <w:szCs w:val="18"/>
                <w:lang w:eastAsia="en-GB"/>
              </w:rPr>
            </w:pPr>
            <w:r w:rsidRPr="00A71BC9">
              <w:rPr>
                <w:sz w:val="18"/>
                <w:szCs w:val="18"/>
                <w:lang w:eastAsia="en-GB"/>
              </w:rPr>
              <w:t> </w:t>
            </w:r>
          </w:p>
        </w:tc>
        <w:tc>
          <w:tcPr>
            <w:tcW w:w="4640"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 </w:t>
            </w:r>
          </w:p>
        </w:tc>
      </w:tr>
      <w:tr w:rsidR="0022223F" w:rsidRPr="00A71BC9">
        <w:trPr>
          <w:trHeight w:val="480"/>
        </w:trPr>
        <w:tc>
          <w:tcPr>
            <w:tcW w:w="1241" w:type="dxa"/>
            <w:tcBorders>
              <w:top w:val="nil"/>
              <w:left w:val="single" w:sz="4" w:space="0" w:color="auto"/>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RES078</w:t>
            </w:r>
          </w:p>
        </w:tc>
        <w:tc>
          <w:tcPr>
            <w:tcW w:w="3859"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Deletion of 4 FTE posts in Housing Benefits</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-140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single" w:sz="4" w:space="0" w:color="auto"/>
              <w:left w:val="single" w:sz="4" w:space="0" w:color="auto"/>
              <w:bottom w:val="single" w:sz="4" w:space="0" w:color="auto"/>
              <w:right w:val="single" w:sz="4" w:space="0" w:color="auto"/>
            </w:tcBorders>
            <w:shd w:val="clear" w:color="000000" w:fill="FF99CC"/>
            <w:noWrap/>
            <w:vAlign w:val="center"/>
          </w:tcPr>
          <w:p w:rsidR="0022223F" w:rsidRPr="00A71BC9" w:rsidRDefault="0022223F" w:rsidP="00A71BC9">
            <w:pPr>
              <w:rPr>
                <w:sz w:val="18"/>
                <w:szCs w:val="18"/>
                <w:lang w:eastAsia="en-GB"/>
              </w:rPr>
            </w:pPr>
            <w:r w:rsidRPr="00A71BC9">
              <w:rPr>
                <w:sz w:val="18"/>
                <w:szCs w:val="18"/>
                <w:lang w:eastAsia="en-GB"/>
              </w:rPr>
              <w:t>Red</w:t>
            </w:r>
          </w:p>
        </w:tc>
        <w:tc>
          <w:tcPr>
            <w:tcW w:w="4640"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 xml:space="preserve">Delays in the implementation of Universal Credit put this saving at risk. </w:t>
            </w:r>
          </w:p>
        </w:tc>
      </w:tr>
      <w:tr w:rsidR="0022223F" w:rsidRPr="00A71BC9">
        <w:trPr>
          <w:trHeight w:val="480"/>
        </w:trPr>
        <w:tc>
          <w:tcPr>
            <w:tcW w:w="1241" w:type="dxa"/>
            <w:tcBorders>
              <w:top w:val="nil"/>
              <w:left w:val="single" w:sz="4" w:space="0" w:color="auto"/>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RES080</w:t>
            </w:r>
          </w:p>
        </w:tc>
        <w:tc>
          <w:tcPr>
            <w:tcW w:w="3859"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Staff reductions to match DWP Admin grant reduction</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-48</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22223F" w:rsidRPr="00A71BC9" w:rsidRDefault="0022223F" w:rsidP="00A71BC9">
            <w:pPr>
              <w:rPr>
                <w:sz w:val="18"/>
                <w:szCs w:val="18"/>
                <w:lang w:eastAsia="en-GB"/>
              </w:rPr>
            </w:pPr>
            <w:r w:rsidRPr="00A71BC9">
              <w:rPr>
                <w:sz w:val="18"/>
                <w:szCs w:val="18"/>
                <w:lang w:eastAsia="en-GB"/>
              </w:rPr>
              <w:t>Green</w:t>
            </w:r>
          </w:p>
        </w:tc>
        <w:tc>
          <w:tcPr>
            <w:tcW w:w="4640"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Delivered</w:t>
            </w:r>
          </w:p>
        </w:tc>
      </w:tr>
      <w:tr w:rsidR="0022223F" w:rsidRPr="00A71BC9">
        <w:trPr>
          <w:trHeight w:val="960"/>
        </w:trPr>
        <w:tc>
          <w:tcPr>
            <w:tcW w:w="1241" w:type="dxa"/>
            <w:tcBorders>
              <w:top w:val="nil"/>
              <w:left w:val="single" w:sz="4" w:space="0" w:color="auto"/>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RES081</w:t>
            </w:r>
          </w:p>
        </w:tc>
        <w:tc>
          <w:tcPr>
            <w:tcW w:w="3859"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Concessionary Travel - Changes to Transport for London (TFL) grant distribution. Reallocation of levy costs between London Boroughs.</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-102</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22223F" w:rsidRPr="00A71BC9" w:rsidRDefault="0022223F" w:rsidP="00A71BC9">
            <w:pPr>
              <w:rPr>
                <w:sz w:val="18"/>
                <w:szCs w:val="18"/>
                <w:lang w:eastAsia="en-GB"/>
              </w:rPr>
            </w:pPr>
            <w:r w:rsidRPr="00A71BC9">
              <w:rPr>
                <w:sz w:val="18"/>
                <w:szCs w:val="18"/>
                <w:lang w:eastAsia="en-GB"/>
              </w:rPr>
              <w:t>Green</w:t>
            </w:r>
          </w:p>
        </w:tc>
        <w:tc>
          <w:tcPr>
            <w:tcW w:w="4640"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Delivered</w:t>
            </w:r>
          </w:p>
        </w:tc>
      </w:tr>
      <w:tr w:rsidR="0022223F" w:rsidRPr="00A71BC9">
        <w:trPr>
          <w:trHeight w:val="285"/>
        </w:trPr>
        <w:tc>
          <w:tcPr>
            <w:tcW w:w="1241" w:type="dxa"/>
            <w:tcBorders>
              <w:top w:val="nil"/>
              <w:left w:val="single" w:sz="4" w:space="0" w:color="auto"/>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RES082</w:t>
            </w:r>
          </w:p>
        </w:tc>
        <w:tc>
          <w:tcPr>
            <w:tcW w:w="3859" w:type="dxa"/>
            <w:tcBorders>
              <w:top w:val="nil"/>
              <w:left w:val="nil"/>
              <w:bottom w:val="single" w:sz="4" w:space="0" w:color="auto"/>
              <w:right w:val="single" w:sz="4" w:space="0" w:color="auto"/>
            </w:tcBorders>
            <w:vAlign w:val="center"/>
          </w:tcPr>
          <w:p w:rsidR="0022223F" w:rsidRPr="00A71BC9" w:rsidRDefault="0022223F" w:rsidP="00A71BC9">
            <w:pPr>
              <w:rPr>
                <w:b/>
                <w:bCs/>
                <w:sz w:val="18"/>
                <w:szCs w:val="18"/>
                <w:lang w:eastAsia="en-GB"/>
              </w:rPr>
            </w:pPr>
            <w:r w:rsidRPr="00A71BC9">
              <w:rPr>
                <w:b/>
                <w:bCs/>
                <w:sz w:val="18"/>
                <w:szCs w:val="18"/>
                <w:lang w:eastAsia="en-GB"/>
              </w:rPr>
              <w:t>Revenues Staffing Reductions</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-40</w:t>
            </w:r>
          </w:p>
        </w:tc>
        <w:tc>
          <w:tcPr>
            <w:tcW w:w="108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22223F" w:rsidRPr="00A71BC9" w:rsidRDefault="0022223F" w:rsidP="00A71BC9">
            <w:pPr>
              <w:rPr>
                <w:sz w:val="18"/>
                <w:szCs w:val="18"/>
                <w:lang w:eastAsia="en-GB"/>
              </w:rPr>
            </w:pPr>
            <w:r w:rsidRPr="00A71BC9">
              <w:rPr>
                <w:sz w:val="18"/>
                <w:szCs w:val="18"/>
                <w:lang w:eastAsia="en-GB"/>
              </w:rPr>
              <w:t>Green</w:t>
            </w:r>
          </w:p>
        </w:tc>
        <w:tc>
          <w:tcPr>
            <w:tcW w:w="4640"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On target</w:t>
            </w:r>
          </w:p>
        </w:tc>
      </w:tr>
      <w:tr w:rsidR="0022223F" w:rsidRPr="00A71BC9">
        <w:trPr>
          <w:trHeight w:val="1200"/>
        </w:trPr>
        <w:tc>
          <w:tcPr>
            <w:tcW w:w="1241" w:type="dxa"/>
            <w:tcBorders>
              <w:top w:val="nil"/>
              <w:left w:val="single" w:sz="4" w:space="0" w:color="auto"/>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RES083</w:t>
            </w:r>
          </w:p>
        </w:tc>
        <w:tc>
          <w:tcPr>
            <w:tcW w:w="3859"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Housing Benefits Staffing Reductions as Benefits moves to DWP. Reduced staffing required as Housing Benefits transfers to Universal Credit and is no longer administered by Harrow.</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-125</w:t>
            </w:r>
          </w:p>
        </w:tc>
        <w:tc>
          <w:tcPr>
            <w:tcW w:w="1080" w:type="dxa"/>
            <w:tcBorders>
              <w:top w:val="single" w:sz="4" w:space="0" w:color="auto"/>
              <w:left w:val="single" w:sz="4" w:space="0" w:color="auto"/>
              <w:bottom w:val="single" w:sz="4" w:space="0" w:color="auto"/>
              <w:right w:val="single" w:sz="4" w:space="0" w:color="auto"/>
            </w:tcBorders>
            <w:shd w:val="clear" w:color="000000" w:fill="FF99CC"/>
            <w:noWrap/>
            <w:vAlign w:val="center"/>
          </w:tcPr>
          <w:p w:rsidR="0022223F" w:rsidRPr="00A71BC9" w:rsidRDefault="0022223F" w:rsidP="00A71BC9">
            <w:pPr>
              <w:rPr>
                <w:sz w:val="18"/>
                <w:szCs w:val="18"/>
                <w:lang w:eastAsia="en-GB"/>
              </w:rPr>
            </w:pPr>
            <w:r w:rsidRPr="00A71BC9">
              <w:rPr>
                <w:sz w:val="18"/>
                <w:szCs w:val="18"/>
                <w:lang w:eastAsia="en-GB"/>
              </w:rPr>
              <w:t>Red</w:t>
            </w:r>
          </w:p>
        </w:tc>
        <w:tc>
          <w:tcPr>
            <w:tcW w:w="4640"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Delays in the implementation of Universal Credit put this saving at risk.</w:t>
            </w:r>
          </w:p>
        </w:tc>
      </w:tr>
      <w:tr w:rsidR="0022223F" w:rsidRPr="00A71BC9">
        <w:trPr>
          <w:trHeight w:val="480"/>
        </w:trPr>
        <w:tc>
          <w:tcPr>
            <w:tcW w:w="1241" w:type="dxa"/>
            <w:tcBorders>
              <w:top w:val="nil"/>
              <w:left w:val="single" w:sz="4" w:space="0" w:color="auto"/>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RES 003 14/15</w:t>
            </w:r>
          </w:p>
        </w:tc>
        <w:tc>
          <w:tcPr>
            <w:tcW w:w="3859"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To delete the post of Chief Executive and associated business support</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-280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22223F" w:rsidRPr="00A71BC9" w:rsidRDefault="0022223F" w:rsidP="00A71BC9">
            <w:pPr>
              <w:rPr>
                <w:sz w:val="18"/>
                <w:szCs w:val="18"/>
                <w:lang w:eastAsia="en-GB"/>
              </w:rPr>
            </w:pPr>
            <w:r w:rsidRPr="00A71BC9">
              <w:rPr>
                <w:sz w:val="18"/>
                <w:szCs w:val="18"/>
                <w:lang w:eastAsia="en-GB"/>
              </w:rPr>
              <w:t>Green</w:t>
            </w:r>
          </w:p>
        </w:tc>
        <w:tc>
          <w:tcPr>
            <w:tcW w:w="4640"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Delivered</w:t>
            </w:r>
          </w:p>
        </w:tc>
      </w:tr>
      <w:tr w:rsidR="0022223F" w:rsidRPr="00A71BC9">
        <w:trPr>
          <w:trHeight w:val="285"/>
        </w:trPr>
        <w:tc>
          <w:tcPr>
            <w:tcW w:w="1241" w:type="dxa"/>
            <w:tcBorders>
              <w:top w:val="nil"/>
              <w:left w:val="single" w:sz="4" w:space="0" w:color="auto"/>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 </w:t>
            </w:r>
          </w:p>
        </w:tc>
        <w:tc>
          <w:tcPr>
            <w:tcW w:w="3859" w:type="dxa"/>
            <w:tcBorders>
              <w:top w:val="nil"/>
              <w:left w:val="nil"/>
              <w:bottom w:val="single" w:sz="4" w:space="0" w:color="auto"/>
              <w:right w:val="single" w:sz="4" w:space="0" w:color="auto"/>
            </w:tcBorders>
            <w:shd w:val="clear" w:color="000000" w:fill="C0C0C0"/>
            <w:vAlign w:val="center"/>
          </w:tcPr>
          <w:p w:rsidR="0022223F" w:rsidRPr="00A71BC9" w:rsidRDefault="0022223F" w:rsidP="00A71BC9">
            <w:pPr>
              <w:rPr>
                <w:b/>
                <w:bCs/>
                <w:sz w:val="18"/>
                <w:szCs w:val="18"/>
                <w:lang w:eastAsia="en-GB"/>
              </w:rPr>
            </w:pPr>
            <w:r w:rsidRPr="00A71BC9">
              <w:rPr>
                <w:b/>
                <w:bCs/>
                <w:sz w:val="18"/>
                <w:szCs w:val="18"/>
                <w:lang w:eastAsia="en-GB"/>
              </w:rPr>
              <w:t>Total Resources Savings</w:t>
            </w:r>
          </w:p>
        </w:tc>
        <w:tc>
          <w:tcPr>
            <w:tcW w:w="1080" w:type="dxa"/>
            <w:tcBorders>
              <w:top w:val="nil"/>
              <w:left w:val="nil"/>
              <w:bottom w:val="single" w:sz="4" w:space="0" w:color="auto"/>
              <w:right w:val="single" w:sz="4" w:space="0" w:color="auto"/>
            </w:tcBorders>
            <w:shd w:val="clear" w:color="000000" w:fill="C0C0C0"/>
            <w:vAlign w:val="center"/>
          </w:tcPr>
          <w:p w:rsidR="0022223F" w:rsidRPr="00A71BC9" w:rsidRDefault="0022223F" w:rsidP="00A71BC9">
            <w:pPr>
              <w:jc w:val="right"/>
              <w:rPr>
                <w:b/>
                <w:bCs/>
                <w:sz w:val="18"/>
                <w:szCs w:val="18"/>
                <w:lang w:eastAsia="en-GB"/>
              </w:rPr>
            </w:pPr>
            <w:r w:rsidRPr="00A71BC9">
              <w:rPr>
                <w:b/>
                <w:bCs/>
                <w:sz w:val="18"/>
                <w:szCs w:val="18"/>
                <w:lang w:eastAsia="en-GB"/>
              </w:rPr>
              <w:t>-1,730</w:t>
            </w:r>
          </w:p>
        </w:tc>
        <w:tc>
          <w:tcPr>
            <w:tcW w:w="1080" w:type="dxa"/>
            <w:tcBorders>
              <w:top w:val="nil"/>
              <w:left w:val="nil"/>
              <w:bottom w:val="single" w:sz="4" w:space="0" w:color="auto"/>
              <w:right w:val="single" w:sz="4" w:space="0" w:color="auto"/>
            </w:tcBorders>
            <w:shd w:val="clear" w:color="000000" w:fill="C0C0C0"/>
            <w:vAlign w:val="center"/>
          </w:tcPr>
          <w:p w:rsidR="0022223F" w:rsidRPr="00A71BC9" w:rsidRDefault="0022223F" w:rsidP="00A71BC9">
            <w:pPr>
              <w:jc w:val="right"/>
              <w:rPr>
                <w:b/>
                <w:bCs/>
                <w:sz w:val="18"/>
                <w:szCs w:val="18"/>
                <w:lang w:eastAsia="en-GB"/>
              </w:rPr>
            </w:pPr>
            <w:r w:rsidRPr="00A71BC9">
              <w:rPr>
                <w:b/>
                <w:bCs/>
                <w:sz w:val="18"/>
                <w:szCs w:val="18"/>
                <w:lang w:eastAsia="en-GB"/>
              </w:rPr>
              <w:t>-535</w:t>
            </w:r>
          </w:p>
        </w:tc>
        <w:tc>
          <w:tcPr>
            <w:tcW w:w="1080" w:type="dxa"/>
            <w:tcBorders>
              <w:top w:val="nil"/>
              <w:left w:val="nil"/>
              <w:bottom w:val="single" w:sz="4" w:space="0" w:color="auto"/>
              <w:right w:val="single" w:sz="4" w:space="0" w:color="auto"/>
            </w:tcBorders>
            <w:shd w:val="clear" w:color="000000" w:fill="C0C0C0"/>
            <w:vAlign w:val="center"/>
          </w:tcPr>
          <w:p w:rsidR="0022223F" w:rsidRPr="00A71BC9" w:rsidRDefault="0022223F" w:rsidP="00A71BC9">
            <w:pPr>
              <w:jc w:val="right"/>
              <w:rPr>
                <w:b/>
                <w:bCs/>
                <w:sz w:val="18"/>
                <w:szCs w:val="18"/>
                <w:lang w:eastAsia="en-GB"/>
              </w:rPr>
            </w:pPr>
            <w:r w:rsidRPr="00A71BC9">
              <w:rPr>
                <w:b/>
                <w:bCs/>
                <w:sz w:val="18"/>
                <w:szCs w:val="18"/>
                <w:lang w:eastAsia="en-GB"/>
              </w:rPr>
              <w:t>-315</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rPr>
                <w:b/>
                <w:bCs/>
                <w:sz w:val="18"/>
                <w:szCs w:val="18"/>
                <w:lang w:eastAsia="en-GB"/>
              </w:rPr>
            </w:pPr>
            <w:r w:rsidRPr="00A71BC9">
              <w:rPr>
                <w:b/>
                <w:bCs/>
                <w:sz w:val="18"/>
                <w:szCs w:val="18"/>
                <w:lang w:eastAsia="en-GB"/>
              </w:rPr>
              <w:t> </w:t>
            </w:r>
          </w:p>
        </w:tc>
        <w:tc>
          <w:tcPr>
            <w:tcW w:w="4640" w:type="dxa"/>
            <w:tcBorders>
              <w:top w:val="nil"/>
              <w:left w:val="nil"/>
              <w:bottom w:val="single" w:sz="4" w:space="0" w:color="auto"/>
              <w:right w:val="single" w:sz="4" w:space="0" w:color="auto"/>
            </w:tcBorders>
            <w:noWrap/>
            <w:vAlign w:val="center"/>
          </w:tcPr>
          <w:p w:rsidR="0022223F" w:rsidRPr="00A71BC9" w:rsidRDefault="0022223F" w:rsidP="00A71BC9">
            <w:pPr>
              <w:rPr>
                <w:b/>
                <w:bCs/>
                <w:sz w:val="18"/>
                <w:szCs w:val="18"/>
                <w:lang w:eastAsia="en-GB"/>
              </w:rPr>
            </w:pPr>
            <w:r w:rsidRPr="00A71BC9">
              <w:rPr>
                <w:b/>
                <w:bCs/>
                <w:sz w:val="18"/>
                <w:szCs w:val="18"/>
                <w:lang w:eastAsia="en-GB"/>
              </w:rPr>
              <w:t> </w:t>
            </w:r>
          </w:p>
        </w:tc>
      </w:tr>
      <w:tr w:rsidR="0022223F" w:rsidRPr="00A71BC9">
        <w:trPr>
          <w:trHeight w:val="285"/>
        </w:trPr>
        <w:tc>
          <w:tcPr>
            <w:tcW w:w="1241" w:type="dxa"/>
            <w:tcBorders>
              <w:top w:val="nil"/>
              <w:left w:val="single" w:sz="4" w:space="0" w:color="auto"/>
              <w:bottom w:val="single" w:sz="4" w:space="0" w:color="auto"/>
              <w:right w:val="single" w:sz="4" w:space="0" w:color="auto"/>
            </w:tcBorders>
            <w:vAlign w:val="bottom"/>
          </w:tcPr>
          <w:p w:rsidR="0022223F" w:rsidRPr="00A71BC9" w:rsidRDefault="0022223F" w:rsidP="00A71BC9">
            <w:pPr>
              <w:rPr>
                <w:color w:val="000000"/>
                <w:sz w:val="18"/>
                <w:szCs w:val="18"/>
                <w:lang w:eastAsia="en-GB"/>
              </w:rPr>
            </w:pPr>
            <w:r w:rsidRPr="00A71BC9">
              <w:rPr>
                <w:color w:val="000000"/>
                <w:sz w:val="18"/>
                <w:szCs w:val="18"/>
                <w:lang w:eastAsia="en-GB"/>
              </w:rPr>
              <w:t> </w:t>
            </w:r>
          </w:p>
        </w:tc>
        <w:tc>
          <w:tcPr>
            <w:tcW w:w="3859" w:type="dxa"/>
            <w:tcBorders>
              <w:top w:val="nil"/>
              <w:left w:val="nil"/>
              <w:bottom w:val="single" w:sz="4" w:space="0" w:color="auto"/>
              <w:right w:val="single" w:sz="4" w:space="0" w:color="auto"/>
            </w:tcBorders>
            <w:vAlign w:val="bottom"/>
          </w:tcPr>
          <w:p w:rsidR="0022223F" w:rsidRPr="00A71BC9" w:rsidRDefault="0022223F" w:rsidP="00A71BC9">
            <w:pPr>
              <w:rPr>
                <w:color w:val="000000"/>
                <w:sz w:val="18"/>
                <w:szCs w:val="18"/>
                <w:lang w:eastAsia="en-GB"/>
              </w:rPr>
            </w:pPr>
            <w:r w:rsidRPr="00A71BC9">
              <w:rPr>
                <w:color w:val="000000"/>
                <w:sz w:val="18"/>
                <w:szCs w:val="18"/>
                <w:lang w:eastAsia="en-GB"/>
              </w:rPr>
              <w:t> </w:t>
            </w:r>
          </w:p>
        </w:tc>
        <w:tc>
          <w:tcPr>
            <w:tcW w:w="1080" w:type="dxa"/>
            <w:tcBorders>
              <w:top w:val="nil"/>
              <w:left w:val="nil"/>
              <w:bottom w:val="single" w:sz="4" w:space="0" w:color="auto"/>
              <w:right w:val="single" w:sz="4" w:space="0" w:color="auto"/>
            </w:tcBorders>
            <w:noWrap/>
            <w:vAlign w:val="bottom"/>
          </w:tcPr>
          <w:p w:rsidR="0022223F" w:rsidRPr="00A71BC9" w:rsidRDefault="0022223F" w:rsidP="00A71BC9">
            <w:pPr>
              <w:rPr>
                <w:color w:val="000000"/>
                <w:sz w:val="18"/>
                <w:szCs w:val="18"/>
                <w:lang w:eastAsia="en-GB"/>
              </w:rPr>
            </w:pPr>
            <w:r w:rsidRPr="00A71BC9">
              <w:rPr>
                <w:color w:val="000000"/>
                <w:sz w:val="18"/>
                <w:szCs w:val="18"/>
                <w:lang w:eastAsia="en-GB"/>
              </w:rPr>
              <w:t> </w:t>
            </w:r>
          </w:p>
        </w:tc>
        <w:tc>
          <w:tcPr>
            <w:tcW w:w="1080" w:type="dxa"/>
            <w:tcBorders>
              <w:top w:val="nil"/>
              <w:left w:val="nil"/>
              <w:bottom w:val="single" w:sz="4" w:space="0" w:color="auto"/>
              <w:right w:val="single" w:sz="4" w:space="0" w:color="auto"/>
            </w:tcBorders>
            <w:noWrap/>
            <w:vAlign w:val="bottom"/>
          </w:tcPr>
          <w:p w:rsidR="0022223F" w:rsidRPr="00A71BC9" w:rsidRDefault="0022223F" w:rsidP="00A71BC9">
            <w:pPr>
              <w:rPr>
                <w:color w:val="000000"/>
                <w:sz w:val="18"/>
                <w:szCs w:val="18"/>
                <w:lang w:eastAsia="en-GB"/>
              </w:rPr>
            </w:pPr>
            <w:r w:rsidRPr="00A71BC9">
              <w:rPr>
                <w:color w:val="000000"/>
                <w:sz w:val="18"/>
                <w:szCs w:val="18"/>
                <w:lang w:eastAsia="en-GB"/>
              </w:rPr>
              <w:t> </w:t>
            </w:r>
          </w:p>
        </w:tc>
        <w:tc>
          <w:tcPr>
            <w:tcW w:w="1080" w:type="dxa"/>
            <w:tcBorders>
              <w:top w:val="nil"/>
              <w:left w:val="nil"/>
              <w:bottom w:val="single" w:sz="4" w:space="0" w:color="auto"/>
              <w:right w:val="single" w:sz="4" w:space="0" w:color="auto"/>
            </w:tcBorders>
            <w:noWrap/>
            <w:vAlign w:val="bottom"/>
          </w:tcPr>
          <w:p w:rsidR="0022223F" w:rsidRPr="00A71BC9" w:rsidRDefault="0022223F" w:rsidP="00A71BC9">
            <w:pPr>
              <w:rPr>
                <w:color w:val="000000"/>
                <w:sz w:val="18"/>
                <w:szCs w:val="18"/>
                <w:lang w:eastAsia="en-GB"/>
              </w:rPr>
            </w:pPr>
            <w:r w:rsidRPr="00A71BC9">
              <w:rPr>
                <w:color w:val="000000"/>
                <w:sz w:val="18"/>
                <w:szCs w:val="18"/>
                <w:lang w:eastAsia="en-GB"/>
              </w:rPr>
              <w:t> </w:t>
            </w:r>
          </w:p>
        </w:tc>
        <w:tc>
          <w:tcPr>
            <w:tcW w:w="1080" w:type="dxa"/>
            <w:tcBorders>
              <w:top w:val="nil"/>
              <w:left w:val="nil"/>
              <w:bottom w:val="single" w:sz="4" w:space="0" w:color="auto"/>
              <w:right w:val="single" w:sz="4" w:space="0" w:color="auto"/>
            </w:tcBorders>
            <w:noWrap/>
            <w:vAlign w:val="bottom"/>
          </w:tcPr>
          <w:p w:rsidR="0022223F" w:rsidRPr="00A71BC9" w:rsidRDefault="0022223F" w:rsidP="00A71BC9">
            <w:pPr>
              <w:rPr>
                <w:color w:val="000000"/>
                <w:sz w:val="18"/>
                <w:szCs w:val="18"/>
                <w:lang w:eastAsia="en-GB"/>
              </w:rPr>
            </w:pPr>
            <w:r w:rsidRPr="00A71BC9">
              <w:rPr>
                <w:color w:val="000000"/>
                <w:sz w:val="18"/>
                <w:szCs w:val="18"/>
                <w:lang w:eastAsia="en-GB"/>
              </w:rPr>
              <w:t> </w:t>
            </w:r>
          </w:p>
        </w:tc>
        <w:tc>
          <w:tcPr>
            <w:tcW w:w="4640" w:type="dxa"/>
            <w:tcBorders>
              <w:top w:val="nil"/>
              <w:left w:val="nil"/>
              <w:bottom w:val="single" w:sz="4" w:space="0" w:color="auto"/>
              <w:right w:val="single" w:sz="4" w:space="0" w:color="auto"/>
            </w:tcBorders>
            <w:noWrap/>
            <w:vAlign w:val="bottom"/>
          </w:tcPr>
          <w:p w:rsidR="0022223F" w:rsidRPr="00A71BC9" w:rsidRDefault="0022223F" w:rsidP="00A71BC9">
            <w:pPr>
              <w:rPr>
                <w:color w:val="000000"/>
                <w:sz w:val="18"/>
                <w:szCs w:val="18"/>
                <w:lang w:eastAsia="en-GB"/>
              </w:rPr>
            </w:pPr>
            <w:r w:rsidRPr="00A71BC9">
              <w:rPr>
                <w:color w:val="000000"/>
                <w:sz w:val="18"/>
                <w:szCs w:val="18"/>
                <w:lang w:eastAsia="en-GB"/>
              </w:rPr>
              <w:t> </w:t>
            </w:r>
          </w:p>
        </w:tc>
      </w:tr>
      <w:tr w:rsidR="0022223F" w:rsidRPr="00A71BC9">
        <w:trPr>
          <w:trHeight w:val="285"/>
        </w:trPr>
        <w:tc>
          <w:tcPr>
            <w:tcW w:w="1241" w:type="dxa"/>
            <w:tcBorders>
              <w:top w:val="nil"/>
              <w:left w:val="single" w:sz="4" w:space="0" w:color="auto"/>
              <w:bottom w:val="single" w:sz="4" w:space="0" w:color="auto"/>
              <w:right w:val="single" w:sz="4" w:space="0" w:color="auto"/>
            </w:tcBorders>
            <w:vAlign w:val="bottom"/>
          </w:tcPr>
          <w:p w:rsidR="0022223F" w:rsidRPr="00A71BC9" w:rsidRDefault="0022223F" w:rsidP="00A71BC9">
            <w:pPr>
              <w:rPr>
                <w:color w:val="000000"/>
                <w:sz w:val="18"/>
                <w:szCs w:val="18"/>
                <w:lang w:eastAsia="en-GB"/>
              </w:rPr>
            </w:pPr>
            <w:r w:rsidRPr="00A71BC9">
              <w:rPr>
                <w:color w:val="000000"/>
                <w:sz w:val="18"/>
                <w:szCs w:val="18"/>
                <w:lang w:eastAsia="en-GB"/>
              </w:rPr>
              <w:t> </w:t>
            </w:r>
          </w:p>
        </w:tc>
        <w:tc>
          <w:tcPr>
            <w:tcW w:w="3859" w:type="dxa"/>
            <w:tcBorders>
              <w:top w:val="nil"/>
              <w:left w:val="nil"/>
              <w:bottom w:val="single" w:sz="4" w:space="0" w:color="auto"/>
              <w:right w:val="single" w:sz="4" w:space="0" w:color="auto"/>
            </w:tcBorders>
            <w:vAlign w:val="bottom"/>
          </w:tcPr>
          <w:p w:rsidR="0022223F" w:rsidRPr="00A71BC9" w:rsidRDefault="0022223F" w:rsidP="00A71BC9">
            <w:pPr>
              <w:rPr>
                <w:b/>
                <w:bCs/>
                <w:color w:val="000000"/>
                <w:sz w:val="18"/>
                <w:szCs w:val="18"/>
                <w:lang w:eastAsia="en-GB"/>
              </w:rPr>
            </w:pPr>
            <w:r w:rsidRPr="00A71BC9">
              <w:rPr>
                <w:b/>
                <w:bCs/>
                <w:color w:val="000000"/>
                <w:sz w:val="18"/>
                <w:szCs w:val="18"/>
                <w:lang w:eastAsia="en-GB"/>
              </w:rPr>
              <w:t>CORPORATE</w:t>
            </w:r>
          </w:p>
        </w:tc>
        <w:tc>
          <w:tcPr>
            <w:tcW w:w="1080" w:type="dxa"/>
            <w:tcBorders>
              <w:top w:val="nil"/>
              <w:left w:val="nil"/>
              <w:bottom w:val="single" w:sz="4" w:space="0" w:color="auto"/>
              <w:right w:val="single" w:sz="4" w:space="0" w:color="auto"/>
            </w:tcBorders>
            <w:noWrap/>
            <w:vAlign w:val="bottom"/>
          </w:tcPr>
          <w:p w:rsidR="0022223F" w:rsidRPr="00A71BC9" w:rsidRDefault="0022223F" w:rsidP="00A71BC9">
            <w:pPr>
              <w:rPr>
                <w:color w:val="000000"/>
                <w:sz w:val="18"/>
                <w:szCs w:val="18"/>
                <w:lang w:eastAsia="en-GB"/>
              </w:rPr>
            </w:pPr>
            <w:r w:rsidRPr="00A71BC9">
              <w:rPr>
                <w:color w:val="000000"/>
                <w:sz w:val="18"/>
                <w:szCs w:val="18"/>
                <w:lang w:eastAsia="en-GB"/>
              </w:rPr>
              <w:t> </w:t>
            </w:r>
          </w:p>
        </w:tc>
        <w:tc>
          <w:tcPr>
            <w:tcW w:w="1080" w:type="dxa"/>
            <w:tcBorders>
              <w:top w:val="nil"/>
              <w:left w:val="nil"/>
              <w:bottom w:val="single" w:sz="4" w:space="0" w:color="auto"/>
              <w:right w:val="single" w:sz="4" w:space="0" w:color="auto"/>
            </w:tcBorders>
            <w:noWrap/>
            <w:vAlign w:val="bottom"/>
          </w:tcPr>
          <w:p w:rsidR="0022223F" w:rsidRPr="00A71BC9" w:rsidRDefault="0022223F" w:rsidP="00A71BC9">
            <w:pPr>
              <w:rPr>
                <w:color w:val="000000"/>
                <w:sz w:val="18"/>
                <w:szCs w:val="18"/>
                <w:lang w:eastAsia="en-GB"/>
              </w:rPr>
            </w:pPr>
            <w:r w:rsidRPr="00A71BC9">
              <w:rPr>
                <w:color w:val="000000"/>
                <w:sz w:val="18"/>
                <w:szCs w:val="18"/>
                <w:lang w:eastAsia="en-GB"/>
              </w:rPr>
              <w:t> </w:t>
            </w:r>
          </w:p>
        </w:tc>
        <w:tc>
          <w:tcPr>
            <w:tcW w:w="1080" w:type="dxa"/>
            <w:tcBorders>
              <w:top w:val="nil"/>
              <w:left w:val="nil"/>
              <w:bottom w:val="single" w:sz="4" w:space="0" w:color="auto"/>
              <w:right w:val="single" w:sz="4" w:space="0" w:color="auto"/>
            </w:tcBorders>
            <w:noWrap/>
            <w:vAlign w:val="bottom"/>
          </w:tcPr>
          <w:p w:rsidR="0022223F" w:rsidRPr="00A71BC9" w:rsidRDefault="0022223F" w:rsidP="00A71BC9">
            <w:pPr>
              <w:rPr>
                <w:color w:val="000000"/>
                <w:sz w:val="18"/>
                <w:szCs w:val="18"/>
                <w:lang w:eastAsia="en-GB"/>
              </w:rPr>
            </w:pPr>
            <w:r w:rsidRPr="00A71BC9">
              <w:rPr>
                <w:color w:val="000000"/>
                <w:sz w:val="18"/>
                <w:szCs w:val="18"/>
                <w:lang w:eastAsia="en-GB"/>
              </w:rPr>
              <w:t> </w:t>
            </w:r>
          </w:p>
        </w:tc>
        <w:tc>
          <w:tcPr>
            <w:tcW w:w="1080" w:type="dxa"/>
            <w:tcBorders>
              <w:top w:val="nil"/>
              <w:left w:val="nil"/>
              <w:bottom w:val="single" w:sz="4" w:space="0" w:color="auto"/>
              <w:right w:val="single" w:sz="4" w:space="0" w:color="auto"/>
            </w:tcBorders>
            <w:noWrap/>
            <w:vAlign w:val="bottom"/>
          </w:tcPr>
          <w:p w:rsidR="0022223F" w:rsidRPr="00A71BC9" w:rsidRDefault="0022223F" w:rsidP="00A71BC9">
            <w:pPr>
              <w:rPr>
                <w:color w:val="000000"/>
                <w:sz w:val="18"/>
                <w:szCs w:val="18"/>
                <w:lang w:eastAsia="en-GB"/>
              </w:rPr>
            </w:pPr>
            <w:r w:rsidRPr="00A71BC9">
              <w:rPr>
                <w:color w:val="000000"/>
                <w:sz w:val="18"/>
                <w:szCs w:val="18"/>
                <w:lang w:eastAsia="en-GB"/>
              </w:rPr>
              <w:t> </w:t>
            </w:r>
          </w:p>
        </w:tc>
        <w:tc>
          <w:tcPr>
            <w:tcW w:w="4640" w:type="dxa"/>
            <w:tcBorders>
              <w:top w:val="nil"/>
              <w:left w:val="nil"/>
              <w:bottom w:val="single" w:sz="4" w:space="0" w:color="auto"/>
              <w:right w:val="single" w:sz="4" w:space="0" w:color="auto"/>
            </w:tcBorders>
            <w:noWrap/>
            <w:vAlign w:val="bottom"/>
          </w:tcPr>
          <w:p w:rsidR="0022223F" w:rsidRPr="00A71BC9" w:rsidRDefault="0022223F" w:rsidP="00A71BC9">
            <w:pPr>
              <w:rPr>
                <w:color w:val="000000"/>
                <w:sz w:val="18"/>
                <w:szCs w:val="18"/>
                <w:lang w:eastAsia="en-GB"/>
              </w:rPr>
            </w:pPr>
            <w:r w:rsidRPr="00A71BC9">
              <w:rPr>
                <w:color w:val="000000"/>
                <w:sz w:val="18"/>
                <w:szCs w:val="18"/>
                <w:lang w:eastAsia="en-GB"/>
              </w:rPr>
              <w:t> </w:t>
            </w:r>
          </w:p>
        </w:tc>
      </w:tr>
      <w:tr w:rsidR="0022223F" w:rsidRPr="00A71BC9">
        <w:trPr>
          <w:trHeight w:val="480"/>
        </w:trPr>
        <w:tc>
          <w:tcPr>
            <w:tcW w:w="1241" w:type="dxa"/>
            <w:tcBorders>
              <w:top w:val="nil"/>
              <w:left w:val="single" w:sz="4" w:space="0" w:color="auto"/>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Tech 029</w:t>
            </w:r>
          </w:p>
        </w:tc>
        <w:tc>
          <w:tcPr>
            <w:tcW w:w="3859"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Terms and conditions. Savings arising from renegotiated terms and conditions with staff.</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-268</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-187</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-31</w:t>
            </w:r>
          </w:p>
        </w:tc>
        <w:tc>
          <w:tcPr>
            <w:tcW w:w="108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22223F" w:rsidRPr="00A71BC9" w:rsidRDefault="0022223F" w:rsidP="00A71BC9">
            <w:pPr>
              <w:rPr>
                <w:sz w:val="18"/>
                <w:szCs w:val="18"/>
                <w:lang w:eastAsia="en-GB"/>
              </w:rPr>
            </w:pPr>
            <w:r w:rsidRPr="00A71BC9">
              <w:rPr>
                <w:sz w:val="18"/>
                <w:szCs w:val="18"/>
                <w:lang w:eastAsia="en-GB"/>
              </w:rPr>
              <w:t>Green</w:t>
            </w:r>
          </w:p>
        </w:tc>
        <w:tc>
          <w:tcPr>
            <w:tcW w:w="4640"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Delivered</w:t>
            </w:r>
          </w:p>
        </w:tc>
      </w:tr>
      <w:tr w:rsidR="0022223F" w:rsidRPr="00A71BC9">
        <w:trPr>
          <w:trHeight w:val="480"/>
        </w:trPr>
        <w:tc>
          <w:tcPr>
            <w:tcW w:w="1241" w:type="dxa"/>
            <w:tcBorders>
              <w:top w:val="nil"/>
              <w:left w:val="single" w:sz="4" w:space="0" w:color="auto"/>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Tech 002 14/15</w:t>
            </w:r>
          </w:p>
        </w:tc>
        <w:tc>
          <w:tcPr>
            <w:tcW w:w="3859"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Saving in use of Consultants across the Council</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-250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jc w:val="right"/>
              <w:rPr>
                <w:sz w:val="18"/>
                <w:szCs w:val="18"/>
                <w:lang w:eastAsia="en-GB"/>
              </w:rPr>
            </w:pPr>
            <w:r w:rsidRPr="00A71BC9">
              <w:rPr>
                <w:sz w:val="18"/>
                <w:szCs w:val="18"/>
                <w:lang w:eastAsia="en-GB"/>
              </w:rPr>
              <w:t>0</w:t>
            </w:r>
          </w:p>
        </w:tc>
        <w:tc>
          <w:tcPr>
            <w:tcW w:w="108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22223F" w:rsidRPr="00A71BC9" w:rsidRDefault="0022223F" w:rsidP="00A71BC9">
            <w:pPr>
              <w:rPr>
                <w:sz w:val="18"/>
                <w:szCs w:val="18"/>
                <w:lang w:eastAsia="en-GB"/>
              </w:rPr>
            </w:pPr>
            <w:r w:rsidRPr="00A71BC9">
              <w:rPr>
                <w:sz w:val="18"/>
                <w:szCs w:val="18"/>
                <w:lang w:eastAsia="en-GB"/>
              </w:rPr>
              <w:t>Green</w:t>
            </w:r>
          </w:p>
        </w:tc>
        <w:tc>
          <w:tcPr>
            <w:tcW w:w="4640" w:type="dxa"/>
            <w:tcBorders>
              <w:top w:val="nil"/>
              <w:left w:val="nil"/>
              <w:bottom w:val="single" w:sz="4" w:space="0" w:color="auto"/>
              <w:right w:val="single" w:sz="4" w:space="0" w:color="auto"/>
            </w:tcBorders>
            <w:vAlign w:val="center"/>
          </w:tcPr>
          <w:p w:rsidR="0022223F" w:rsidRPr="00A71BC9" w:rsidRDefault="0022223F" w:rsidP="00A71BC9">
            <w:pPr>
              <w:rPr>
                <w:sz w:val="18"/>
                <w:szCs w:val="18"/>
                <w:lang w:eastAsia="en-GB"/>
              </w:rPr>
            </w:pPr>
            <w:r w:rsidRPr="00A71BC9">
              <w:rPr>
                <w:sz w:val="18"/>
                <w:szCs w:val="18"/>
                <w:lang w:eastAsia="en-GB"/>
              </w:rPr>
              <w:t>Built into 2014-15 budget</w:t>
            </w:r>
          </w:p>
        </w:tc>
      </w:tr>
      <w:tr w:rsidR="0022223F" w:rsidRPr="00A71BC9">
        <w:trPr>
          <w:trHeight w:val="285"/>
        </w:trPr>
        <w:tc>
          <w:tcPr>
            <w:tcW w:w="1241" w:type="dxa"/>
            <w:tcBorders>
              <w:top w:val="nil"/>
              <w:left w:val="single" w:sz="4" w:space="0" w:color="auto"/>
              <w:bottom w:val="single" w:sz="4" w:space="0" w:color="auto"/>
              <w:right w:val="single" w:sz="4" w:space="0" w:color="auto"/>
            </w:tcBorders>
            <w:noWrap/>
            <w:vAlign w:val="center"/>
          </w:tcPr>
          <w:p w:rsidR="0022223F" w:rsidRPr="00A71BC9" w:rsidRDefault="0022223F" w:rsidP="00A71BC9">
            <w:pPr>
              <w:rPr>
                <w:sz w:val="18"/>
                <w:szCs w:val="18"/>
                <w:lang w:eastAsia="en-GB"/>
              </w:rPr>
            </w:pPr>
            <w:r w:rsidRPr="00A71BC9">
              <w:rPr>
                <w:sz w:val="18"/>
                <w:szCs w:val="18"/>
                <w:lang w:eastAsia="en-GB"/>
              </w:rPr>
              <w:t> </w:t>
            </w:r>
          </w:p>
        </w:tc>
        <w:tc>
          <w:tcPr>
            <w:tcW w:w="3859" w:type="dxa"/>
            <w:tcBorders>
              <w:top w:val="nil"/>
              <w:left w:val="nil"/>
              <w:bottom w:val="single" w:sz="4" w:space="0" w:color="auto"/>
              <w:right w:val="single" w:sz="4" w:space="0" w:color="auto"/>
            </w:tcBorders>
            <w:shd w:val="clear" w:color="000000" w:fill="C0C0C0"/>
            <w:vAlign w:val="center"/>
          </w:tcPr>
          <w:p w:rsidR="0022223F" w:rsidRPr="00A71BC9" w:rsidRDefault="0022223F" w:rsidP="00A71BC9">
            <w:pPr>
              <w:rPr>
                <w:b/>
                <w:bCs/>
                <w:sz w:val="18"/>
                <w:szCs w:val="18"/>
                <w:lang w:eastAsia="en-GB"/>
              </w:rPr>
            </w:pPr>
            <w:r w:rsidRPr="00A71BC9">
              <w:rPr>
                <w:b/>
                <w:bCs/>
                <w:sz w:val="18"/>
                <w:szCs w:val="18"/>
                <w:lang w:eastAsia="en-GB"/>
              </w:rPr>
              <w:t>Total Corporate</w:t>
            </w:r>
          </w:p>
        </w:tc>
        <w:tc>
          <w:tcPr>
            <w:tcW w:w="1080" w:type="dxa"/>
            <w:tcBorders>
              <w:top w:val="nil"/>
              <w:left w:val="nil"/>
              <w:bottom w:val="single" w:sz="4" w:space="0" w:color="auto"/>
              <w:right w:val="single" w:sz="4" w:space="0" w:color="auto"/>
            </w:tcBorders>
            <w:shd w:val="clear" w:color="000000" w:fill="C0C0C0"/>
            <w:vAlign w:val="center"/>
          </w:tcPr>
          <w:p w:rsidR="0022223F" w:rsidRPr="00A71BC9" w:rsidRDefault="0022223F" w:rsidP="00A71BC9">
            <w:pPr>
              <w:jc w:val="right"/>
              <w:rPr>
                <w:b/>
                <w:bCs/>
                <w:sz w:val="18"/>
                <w:szCs w:val="18"/>
                <w:lang w:eastAsia="en-GB"/>
              </w:rPr>
            </w:pPr>
            <w:r w:rsidRPr="00A71BC9">
              <w:rPr>
                <w:b/>
                <w:bCs/>
                <w:sz w:val="18"/>
                <w:szCs w:val="18"/>
                <w:lang w:eastAsia="en-GB"/>
              </w:rPr>
              <w:t>-518</w:t>
            </w:r>
          </w:p>
        </w:tc>
        <w:tc>
          <w:tcPr>
            <w:tcW w:w="1080" w:type="dxa"/>
            <w:tcBorders>
              <w:top w:val="nil"/>
              <w:left w:val="nil"/>
              <w:bottom w:val="single" w:sz="4" w:space="0" w:color="auto"/>
              <w:right w:val="single" w:sz="4" w:space="0" w:color="auto"/>
            </w:tcBorders>
            <w:shd w:val="clear" w:color="000000" w:fill="C0C0C0"/>
            <w:vAlign w:val="center"/>
          </w:tcPr>
          <w:p w:rsidR="0022223F" w:rsidRPr="00A71BC9" w:rsidRDefault="0022223F" w:rsidP="00A71BC9">
            <w:pPr>
              <w:jc w:val="right"/>
              <w:rPr>
                <w:b/>
                <w:bCs/>
                <w:sz w:val="18"/>
                <w:szCs w:val="18"/>
                <w:lang w:eastAsia="en-GB"/>
              </w:rPr>
            </w:pPr>
            <w:r w:rsidRPr="00A71BC9">
              <w:rPr>
                <w:b/>
                <w:bCs/>
                <w:sz w:val="18"/>
                <w:szCs w:val="18"/>
                <w:lang w:eastAsia="en-GB"/>
              </w:rPr>
              <w:t>-187</w:t>
            </w:r>
          </w:p>
        </w:tc>
        <w:tc>
          <w:tcPr>
            <w:tcW w:w="1080" w:type="dxa"/>
            <w:tcBorders>
              <w:top w:val="nil"/>
              <w:left w:val="nil"/>
              <w:bottom w:val="single" w:sz="4" w:space="0" w:color="auto"/>
              <w:right w:val="single" w:sz="4" w:space="0" w:color="auto"/>
            </w:tcBorders>
            <w:shd w:val="clear" w:color="000000" w:fill="C0C0C0"/>
            <w:vAlign w:val="center"/>
          </w:tcPr>
          <w:p w:rsidR="0022223F" w:rsidRPr="00A71BC9" w:rsidRDefault="0022223F" w:rsidP="00A71BC9">
            <w:pPr>
              <w:jc w:val="right"/>
              <w:rPr>
                <w:b/>
                <w:bCs/>
                <w:sz w:val="18"/>
                <w:szCs w:val="18"/>
                <w:lang w:eastAsia="en-GB"/>
              </w:rPr>
            </w:pPr>
            <w:r w:rsidRPr="00A71BC9">
              <w:rPr>
                <w:b/>
                <w:bCs/>
                <w:sz w:val="18"/>
                <w:szCs w:val="18"/>
                <w:lang w:eastAsia="en-GB"/>
              </w:rPr>
              <w:t>-31</w:t>
            </w:r>
          </w:p>
        </w:tc>
        <w:tc>
          <w:tcPr>
            <w:tcW w:w="1080" w:type="dxa"/>
            <w:tcBorders>
              <w:top w:val="nil"/>
              <w:left w:val="nil"/>
              <w:bottom w:val="single" w:sz="4" w:space="0" w:color="auto"/>
              <w:right w:val="single" w:sz="4" w:space="0" w:color="auto"/>
            </w:tcBorders>
            <w:noWrap/>
            <w:vAlign w:val="center"/>
          </w:tcPr>
          <w:p w:rsidR="0022223F" w:rsidRPr="00A71BC9" w:rsidRDefault="0022223F" w:rsidP="00A71BC9">
            <w:pPr>
              <w:rPr>
                <w:b/>
                <w:bCs/>
                <w:sz w:val="18"/>
                <w:szCs w:val="18"/>
                <w:lang w:eastAsia="en-GB"/>
              </w:rPr>
            </w:pPr>
            <w:r w:rsidRPr="00A71BC9">
              <w:rPr>
                <w:b/>
                <w:bCs/>
                <w:sz w:val="18"/>
                <w:szCs w:val="18"/>
                <w:lang w:eastAsia="en-GB"/>
              </w:rPr>
              <w:t> </w:t>
            </w:r>
          </w:p>
        </w:tc>
        <w:tc>
          <w:tcPr>
            <w:tcW w:w="4640" w:type="dxa"/>
            <w:tcBorders>
              <w:top w:val="nil"/>
              <w:left w:val="nil"/>
              <w:bottom w:val="single" w:sz="4" w:space="0" w:color="auto"/>
              <w:right w:val="single" w:sz="4" w:space="0" w:color="auto"/>
            </w:tcBorders>
            <w:noWrap/>
            <w:vAlign w:val="center"/>
          </w:tcPr>
          <w:p w:rsidR="0022223F" w:rsidRPr="00A71BC9" w:rsidRDefault="0022223F" w:rsidP="00A71BC9">
            <w:pPr>
              <w:rPr>
                <w:b/>
                <w:bCs/>
                <w:sz w:val="18"/>
                <w:szCs w:val="18"/>
                <w:lang w:eastAsia="en-GB"/>
              </w:rPr>
            </w:pPr>
            <w:r w:rsidRPr="00A71BC9">
              <w:rPr>
                <w:b/>
                <w:bCs/>
                <w:sz w:val="18"/>
                <w:szCs w:val="18"/>
                <w:lang w:eastAsia="en-GB"/>
              </w:rPr>
              <w:t> </w:t>
            </w:r>
          </w:p>
        </w:tc>
      </w:tr>
      <w:tr w:rsidR="0022223F" w:rsidRPr="00A71BC9">
        <w:trPr>
          <w:trHeight w:val="285"/>
        </w:trPr>
        <w:tc>
          <w:tcPr>
            <w:tcW w:w="1241" w:type="dxa"/>
            <w:tcBorders>
              <w:top w:val="nil"/>
              <w:left w:val="nil"/>
              <w:bottom w:val="nil"/>
              <w:right w:val="nil"/>
            </w:tcBorders>
            <w:noWrap/>
            <w:vAlign w:val="bottom"/>
          </w:tcPr>
          <w:p w:rsidR="0022223F" w:rsidRPr="00A71BC9" w:rsidRDefault="0022223F" w:rsidP="00A71BC9">
            <w:pPr>
              <w:rPr>
                <w:color w:val="000000"/>
                <w:sz w:val="18"/>
                <w:szCs w:val="18"/>
                <w:lang w:eastAsia="en-GB"/>
              </w:rPr>
            </w:pPr>
          </w:p>
        </w:tc>
        <w:tc>
          <w:tcPr>
            <w:tcW w:w="3859" w:type="dxa"/>
            <w:tcBorders>
              <w:top w:val="nil"/>
              <w:left w:val="nil"/>
              <w:bottom w:val="nil"/>
              <w:right w:val="nil"/>
            </w:tcBorders>
            <w:vAlign w:val="bottom"/>
          </w:tcPr>
          <w:p w:rsidR="0022223F" w:rsidRPr="00A71BC9" w:rsidRDefault="0022223F" w:rsidP="00A71BC9">
            <w:pPr>
              <w:rPr>
                <w:color w:val="000000"/>
                <w:sz w:val="18"/>
                <w:szCs w:val="18"/>
                <w:lang w:eastAsia="en-GB"/>
              </w:rPr>
            </w:pPr>
          </w:p>
        </w:tc>
        <w:tc>
          <w:tcPr>
            <w:tcW w:w="1080" w:type="dxa"/>
            <w:tcBorders>
              <w:top w:val="nil"/>
              <w:left w:val="nil"/>
              <w:bottom w:val="nil"/>
              <w:right w:val="nil"/>
            </w:tcBorders>
            <w:noWrap/>
            <w:vAlign w:val="bottom"/>
          </w:tcPr>
          <w:p w:rsidR="0022223F" w:rsidRPr="00A71BC9" w:rsidRDefault="0022223F" w:rsidP="00A71BC9">
            <w:pPr>
              <w:rPr>
                <w:color w:val="000000"/>
                <w:sz w:val="18"/>
                <w:szCs w:val="18"/>
                <w:lang w:eastAsia="en-GB"/>
              </w:rPr>
            </w:pPr>
          </w:p>
        </w:tc>
        <w:tc>
          <w:tcPr>
            <w:tcW w:w="1080" w:type="dxa"/>
            <w:tcBorders>
              <w:top w:val="nil"/>
              <w:left w:val="nil"/>
              <w:bottom w:val="nil"/>
              <w:right w:val="nil"/>
            </w:tcBorders>
            <w:noWrap/>
            <w:vAlign w:val="bottom"/>
          </w:tcPr>
          <w:p w:rsidR="0022223F" w:rsidRPr="00A71BC9" w:rsidRDefault="0022223F" w:rsidP="00A71BC9">
            <w:pPr>
              <w:rPr>
                <w:color w:val="000000"/>
                <w:sz w:val="18"/>
                <w:szCs w:val="18"/>
                <w:lang w:eastAsia="en-GB"/>
              </w:rPr>
            </w:pPr>
          </w:p>
        </w:tc>
        <w:tc>
          <w:tcPr>
            <w:tcW w:w="1080" w:type="dxa"/>
            <w:tcBorders>
              <w:top w:val="nil"/>
              <w:left w:val="nil"/>
              <w:bottom w:val="nil"/>
              <w:right w:val="nil"/>
            </w:tcBorders>
            <w:noWrap/>
            <w:vAlign w:val="bottom"/>
          </w:tcPr>
          <w:p w:rsidR="0022223F" w:rsidRPr="00A71BC9" w:rsidRDefault="0022223F" w:rsidP="00A71BC9">
            <w:pPr>
              <w:rPr>
                <w:color w:val="000000"/>
                <w:sz w:val="18"/>
                <w:szCs w:val="18"/>
                <w:lang w:eastAsia="en-GB"/>
              </w:rPr>
            </w:pPr>
          </w:p>
        </w:tc>
        <w:tc>
          <w:tcPr>
            <w:tcW w:w="1080" w:type="dxa"/>
            <w:tcBorders>
              <w:top w:val="nil"/>
              <w:left w:val="nil"/>
              <w:bottom w:val="nil"/>
              <w:right w:val="nil"/>
            </w:tcBorders>
            <w:noWrap/>
            <w:vAlign w:val="bottom"/>
          </w:tcPr>
          <w:p w:rsidR="0022223F" w:rsidRPr="00A71BC9" w:rsidRDefault="0022223F" w:rsidP="00A71BC9">
            <w:pPr>
              <w:rPr>
                <w:color w:val="000000"/>
                <w:sz w:val="18"/>
                <w:szCs w:val="18"/>
                <w:lang w:eastAsia="en-GB"/>
              </w:rPr>
            </w:pPr>
          </w:p>
        </w:tc>
        <w:tc>
          <w:tcPr>
            <w:tcW w:w="4640" w:type="dxa"/>
            <w:tcBorders>
              <w:top w:val="nil"/>
              <w:left w:val="nil"/>
              <w:bottom w:val="nil"/>
              <w:right w:val="nil"/>
            </w:tcBorders>
            <w:noWrap/>
            <w:vAlign w:val="bottom"/>
          </w:tcPr>
          <w:p w:rsidR="0022223F" w:rsidRPr="00A71BC9" w:rsidRDefault="0022223F" w:rsidP="00A71BC9">
            <w:pPr>
              <w:rPr>
                <w:color w:val="000000"/>
                <w:sz w:val="18"/>
                <w:szCs w:val="18"/>
                <w:lang w:eastAsia="en-GB"/>
              </w:rPr>
            </w:pPr>
          </w:p>
        </w:tc>
      </w:tr>
      <w:tr w:rsidR="0022223F" w:rsidRPr="00A71BC9">
        <w:trPr>
          <w:trHeight w:val="285"/>
        </w:trPr>
        <w:tc>
          <w:tcPr>
            <w:tcW w:w="1241" w:type="dxa"/>
            <w:tcBorders>
              <w:top w:val="single" w:sz="4" w:space="0" w:color="auto"/>
              <w:left w:val="single" w:sz="4" w:space="0" w:color="auto"/>
              <w:bottom w:val="single" w:sz="4" w:space="0" w:color="auto"/>
              <w:right w:val="single" w:sz="4" w:space="0" w:color="auto"/>
            </w:tcBorders>
            <w:noWrap/>
            <w:vAlign w:val="center"/>
          </w:tcPr>
          <w:p w:rsidR="0022223F" w:rsidRPr="00A71BC9" w:rsidRDefault="0022223F" w:rsidP="00A71BC9">
            <w:pPr>
              <w:rPr>
                <w:sz w:val="18"/>
                <w:szCs w:val="18"/>
                <w:lang w:eastAsia="en-GB"/>
              </w:rPr>
            </w:pPr>
            <w:r w:rsidRPr="00A71BC9">
              <w:rPr>
                <w:sz w:val="18"/>
                <w:szCs w:val="18"/>
                <w:lang w:eastAsia="en-GB"/>
              </w:rPr>
              <w:t> </w:t>
            </w:r>
          </w:p>
        </w:tc>
        <w:tc>
          <w:tcPr>
            <w:tcW w:w="3859" w:type="dxa"/>
            <w:tcBorders>
              <w:top w:val="single" w:sz="4" w:space="0" w:color="auto"/>
              <w:left w:val="nil"/>
              <w:bottom w:val="single" w:sz="4" w:space="0" w:color="auto"/>
              <w:right w:val="single" w:sz="4" w:space="0" w:color="auto"/>
            </w:tcBorders>
            <w:shd w:val="clear" w:color="000000" w:fill="C0C0C0"/>
            <w:vAlign w:val="center"/>
          </w:tcPr>
          <w:p w:rsidR="0022223F" w:rsidRPr="00A71BC9" w:rsidRDefault="0022223F" w:rsidP="00A71BC9">
            <w:pPr>
              <w:rPr>
                <w:b/>
                <w:bCs/>
                <w:sz w:val="18"/>
                <w:szCs w:val="18"/>
                <w:lang w:eastAsia="en-GB"/>
              </w:rPr>
            </w:pPr>
            <w:r w:rsidRPr="00A71BC9">
              <w:rPr>
                <w:b/>
                <w:bCs/>
                <w:sz w:val="18"/>
                <w:szCs w:val="18"/>
                <w:lang w:eastAsia="en-GB"/>
              </w:rPr>
              <w:t>Total</w:t>
            </w:r>
          </w:p>
        </w:tc>
        <w:tc>
          <w:tcPr>
            <w:tcW w:w="1080" w:type="dxa"/>
            <w:tcBorders>
              <w:top w:val="single" w:sz="4" w:space="0" w:color="auto"/>
              <w:left w:val="nil"/>
              <w:bottom w:val="single" w:sz="4" w:space="0" w:color="auto"/>
              <w:right w:val="single" w:sz="4" w:space="0" w:color="auto"/>
            </w:tcBorders>
            <w:shd w:val="clear" w:color="000000" w:fill="C0C0C0"/>
            <w:vAlign w:val="center"/>
          </w:tcPr>
          <w:p w:rsidR="0022223F" w:rsidRPr="00A71BC9" w:rsidRDefault="0022223F" w:rsidP="00A71BC9">
            <w:pPr>
              <w:jc w:val="right"/>
              <w:rPr>
                <w:b/>
                <w:bCs/>
                <w:sz w:val="18"/>
                <w:szCs w:val="18"/>
                <w:lang w:eastAsia="en-GB"/>
              </w:rPr>
            </w:pPr>
            <w:r w:rsidRPr="00A71BC9">
              <w:rPr>
                <w:b/>
                <w:bCs/>
                <w:sz w:val="18"/>
                <w:szCs w:val="18"/>
                <w:lang w:eastAsia="en-GB"/>
              </w:rPr>
              <w:t>-12,939</w:t>
            </w:r>
          </w:p>
        </w:tc>
        <w:tc>
          <w:tcPr>
            <w:tcW w:w="1080" w:type="dxa"/>
            <w:tcBorders>
              <w:top w:val="single" w:sz="4" w:space="0" w:color="auto"/>
              <w:left w:val="nil"/>
              <w:bottom w:val="single" w:sz="4" w:space="0" w:color="auto"/>
              <w:right w:val="single" w:sz="4" w:space="0" w:color="auto"/>
            </w:tcBorders>
            <w:shd w:val="clear" w:color="000000" w:fill="C0C0C0"/>
            <w:vAlign w:val="center"/>
          </w:tcPr>
          <w:p w:rsidR="0022223F" w:rsidRPr="00A71BC9" w:rsidRDefault="0022223F" w:rsidP="00A71BC9">
            <w:pPr>
              <w:jc w:val="right"/>
              <w:rPr>
                <w:b/>
                <w:bCs/>
                <w:sz w:val="18"/>
                <w:szCs w:val="18"/>
                <w:lang w:eastAsia="en-GB"/>
              </w:rPr>
            </w:pPr>
            <w:r w:rsidRPr="00A71BC9">
              <w:rPr>
                <w:b/>
                <w:bCs/>
                <w:sz w:val="18"/>
                <w:szCs w:val="18"/>
                <w:lang w:eastAsia="en-GB"/>
              </w:rPr>
              <w:t>-1,236</w:t>
            </w:r>
          </w:p>
        </w:tc>
        <w:tc>
          <w:tcPr>
            <w:tcW w:w="1080" w:type="dxa"/>
            <w:tcBorders>
              <w:top w:val="single" w:sz="4" w:space="0" w:color="auto"/>
              <w:left w:val="nil"/>
              <w:bottom w:val="single" w:sz="4" w:space="0" w:color="auto"/>
              <w:right w:val="single" w:sz="4" w:space="0" w:color="auto"/>
            </w:tcBorders>
            <w:shd w:val="clear" w:color="000000" w:fill="C0C0C0"/>
            <w:vAlign w:val="center"/>
          </w:tcPr>
          <w:p w:rsidR="0022223F" w:rsidRPr="00A71BC9" w:rsidRDefault="0022223F" w:rsidP="00A71BC9">
            <w:pPr>
              <w:jc w:val="right"/>
              <w:rPr>
                <w:b/>
                <w:bCs/>
                <w:sz w:val="18"/>
                <w:szCs w:val="18"/>
                <w:lang w:eastAsia="en-GB"/>
              </w:rPr>
            </w:pPr>
            <w:r w:rsidRPr="00A71BC9">
              <w:rPr>
                <w:b/>
                <w:bCs/>
                <w:sz w:val="18"/>
                <w:szCs w:val="18"/>
                <w:lang w:eastAsia="en-GB"/>
              </w:rPr>
              <w:t>-346</w:t>
            </w:r>
          </w:p>
        </w:tc>
        <w:tc>
          <w:tcPr>
            <w:tcW w:w="1080" w:type="dxa"/>
            <w:tcBorders>
              <w:top w:val="single" w:sz="4" w:space="0" w:color="auto"/>
              <w:left w:val="nil"/>
              <w:bottom w:val="single" w:sz="4" w:space="0" w:color="auto"/>
              <w:right w:val="single" w:sz="4" w:space="0" w:color="auto"/>
            </w:tcBorders>
            <w:noWrap/>
            <w:vAlign w:val="center"/>
          </w:tcPr>
          <w:p w:rsidR="0022223F" w:rsidRPr="00A71BC9" w:rsidRDefault="0022223F" w:rsidP="00A71BC9">
            <w:pPr>
              <w:rPr>
                <w:b/>
                <w:bCs/>
                <w:sz w:val="18"/>
                <w:szCs w:val="18"/>
                <w:lang w:eastAsia="en-GB"/>
              </w:rPr>
            </w:pPr>
            <w:r w:rsidRPr="00A71BC9">
              <w:rPr>
                <w:b/>
                <w:bCs/>
                <w:sz w:val="18"/>
                <w:szCs w:val="18"/>
                <w:lang w:eastAsia="en-GB"/>
              </w:rPr>
              <w:t> </w:t>
            </w:r>
          </w:p>
        </w:tc>
        <w:tc>
          <w:tcPr>
            <w:tcW w:w="4640" w:type="dxa"/>
            <w:tcBorders>
              <w:top w:val="single" w:sz="4" w:space="0" w:color="auto"/>
              <w:left w:val="nil"/>
              <w:bottom w:val="single" w:sz="4" w:space="0" w:color="auto"/>
              <w:right w:val="single" w:sz="4" w:space="0" w:color="auto"/>
            </w:tcBorders>
            <w:noWrap/>
            <w:vAlign w:val="center"/>
          </w:tcPr>
          <w:p w:rsidR="0022223F" w:rsidRPr="00A71BC9" w:rsidRDefault="0022223F" w:rsidP="00A71BC9">
            <w:pPr>
              <w:rPr>
                <w:b/>
                <w:bCs/>
                <w:sz w:val="18"/>
                <w:szCs w:val="18"/>
                <w:lang w:eastAsia="en-GB"/>
              </w:rPr>
            </w:pPr>
            <w:r w:rsidRPr="00A71BC9">
              <w:rPr>
                <w:b/>
                <w:bCs/>
                <w:sz w:val="18"/>
                <w:szCs w:val="18"/>
                <w:lang w:eastAsia="en-GB"/>
              </w:rPr>
              <w:t> </w:t>
            </w:r>
          </w:p>
        </w:tc>
      </w:tr>
    </w:tbl>
    <w:p w:rsidR="0022223F" w:rsidRDefault="0022223F">
      <w:pPr>
        <w:pStyle w:val="Infotext"/>
        <w:rPr>
          <w:b/>
          <w:bCs/>
        </w:rPr>
        <w:sectPr w:rsidR="0022223F" w:rsidSect="007B1EF8">
          <w:pgSz w:w="16834" w:h="11909" w:orient="landscape" w:code="9"/>
          <w:pgMar w:top="987" w:right="720" w:bottom="1800" w:left="1152" w:header="720" w:footer="432" w:gutter="0"/>
          <w:cols w:space="720"/>
          <w:titlePg/>
          <w:docGrid w:linePitch="360"/>
        </w:sectPr>
      </w:pPr>
    </w:p>
    <w:p w:rsidR="0022223F" w:rsidRPr="000B46E1" w:rsidRDefault="0022223F" w:rsidP="000B46E1">
      <w:pPr>
        <w:ind w:right="-858"/>
        <w:jc w:val="right"/>
        <w:rPr>
          <w:b/>
          <w:bCs/>
        </w:rPr>
      </w:pPr>
      <w:r w:rsidRPr="000B46E1">
        <w:rPr>
          <w:b/>
          <w:bCs/>
        </w:rPr>
        <w:t>Appendix 3</w:t>
      </w:r>
    </w:p>
    <w:p w:rsidR="0022223F" w:rsidRPr="00FC25D5" w:rsidRDefault="0022223F" w:rsidP="00FC25D5">
      <w:pPr>
        <w:pStyle w:val="Heading3"/>
        <w:rPr>
          <w:i w:val="0"/>
          <w:iCs w:val="0"/>
        </w:rPr>
      </w:pPr>
      <w:r w:rsidRPr="00FC25D5">
        <w:rPr>
          <w:i w:val="0"/>
          <w:iCs w:val="0"/>
        </w:rPr>
        <w:t>Debt Management 2014/15</w:t>
      </w:r>
    </w:p>
    <w:p w:rsidR="0022223F" w:rsidRDefault="0022223F" w:rsidP="009D3000">
      <w:pPr>
        <w:jc w:val="both"/>
        <w:rPr>
          <w:b/>
          <w:bCs/>
        </w:rPr>
      </w:pPr>
    </w:p>
    <w:p w:rsidR="0022223F" w:rsidRPr="000D499C" w:rsidRDefault="0022223F" w:rsidP="009D3000">
      <w:pPr>
        <w:jc w:val="both"/>
        <w:rPr>
          <w:b/>
          <w:bCs/>
        </w:rPr>
      </w:pPr>
      <w:r w:rsidRPr="000D499C">
        <w:rPr>
          <w:b/>
          <w:bCs/>
        </w:rPr>
        <w:t>Council Tax</w:t>
      </w:r>
    </w:p>
    <w:p w:rsidR="0022223F" w:rsidRDefault="0022223F" w:rsidP="009D3000">
      <w:pPr>
        <w:pStyle w:val="BodyText3"/>
        <w:ind w:right="-720"/>
      </w:pPr>
      <w:r>
        <w:t xml:space="preserve">Currently, bad debt provisions (BDP) </w:t>
      </w:r>
      <w:r w:rsidRPr="00D813D3">
        <w:t>of £4.590m</w:t>
      </w:r>
      <w:r w:rsidRPr="00B87680">
        <w:t xml:space="preserve"> exist </w:t>
      </w:r>
      <w:r w:rsidRPr="00750E63">
        <w:rPr>
          <w:b/>
          <w:bCs/>
        </w:rPr>
        <w:t>[£4.898m</w:t>
      </w:r>
      <w:r w:rsidRPr="00D813D3">
        <w:t>- £0.308k</w:t>
      </w:r>
      <w:r>
        <w:t xml:space="preserve">; w/offs done 01/04/14-30/09/14] for Council Tax against a potential BDP </w:t>
      </w:r>
      <w:r w:rsidRPr="00414DD5">
        <w:t xml:space="preserve">of </w:t>
      </w:r>
      <w:r w:rsidRPr="00D46403">
        <w:t>£</w:t>
      </w:r>
      <w:r>
        <w:t>4</w:t>
      </w:r>
      <w:r w:rsidRPr="00D46403">
        <w:t>.</w:t>
      </w:r>
      <w:r>
        <w:t>109</w:t>
      </w:r>
      <w:r w:rsidRPr="00D46403">
        <w:t>m</w:t>
      </w:r>
      <w:r w:rsidRPr="00B87680">
        <w:t xml:space="preserve"> f</w:t>
      </w:r>
      <w:r>
        <w:t xml:space="preserve">or debts accrued to 31 March 2014. </w:t>
      </w:r>
    </w:p>
    <w:p w:rsidR="0022223F" w:rsidRDefault="0022223F" w:rsidP="009D3000">
      <w:pPr>
        <w:pStyle w:val="BodyText3"/>
        <w:ind w:right="-720"/>
      </w:pPr>
    </w:p>
    <w:tbl>
      <w:tblPr>
        <w:tblW w:w="9545" w:type="dxa"/>
        <w:tblInd w:w="-106" w:type="dxa"/>
        <w:tblLayout w:type="fixed"/>
        <w:tblLook w:val="0000"/>
      </w:tblPr>
      <w:tblGrid>
        <w:gridCol w:w="3425"/>
        <w:gridCol w:w="1440"/>
        <w:gridCol w:w="1620"/>
        <w:gridCol w:w="1260"/>
        <w:gridCol w:w="1800"/>
      </w:tblGrid>
      <w:tr w:rsidR="0022223F" w:rsidRPr="007D2A81">
        <w:trPr>
          <w:trHeight w:val="591"/>
        </w:trPr>
        <w:tc>
          <w:tcPr>
            <w:tcW w:w="3425" w:type="dxa"/>
            <w:tcBorders>
              <w:top w:val="single" w:sz="4" w:space="0" w:color="auto"/>
              <w:left w:val="single" w:sz="4" w:space="0" w:color="auto"/>
              <w:bottom w:val="single" w:sz="4" w:space="0" w:color="auto"/>
              <w:right w:val="single" w:sz="4" w:space="0" w:color="auto"/>
            </w:tcBorders>
            <w:noWrap/>
          </w:tcPr>
          <w:p w:rsidR="0022223F" w:rsidRPr="007D2A81" w:rsidRDefault="0022223F" w:rsidP="00D82B95">
            <w:pPr>
              <w:rPr>
                <w:b/>
                <w:bCs/>
                <w:sz w:val="20"/>
                <w:szCs w:val="20"/>
              </w:rPr>
            </w:pPr>
            <w:r w:rsidRPr="007D2A81">
              <w:rPr>
                <w:b/>
                <w:bCs/>
                <w:sz w:val="20"/>
                <w:szCs w:val="20"/>
              </w:rPr>
              <w:t>COUNCIL TAX</w:t>
            </w:r>
          </w:p>
          <w:p w:rsidR="0022223F" w:rsidRPr="007D2A81" w:rsidRDefault="0022223F" w:rsidP="00D82B95">
            <w:pPr>
              <w:rPr>
                <w:b/>
                <w:bCs/>
                <w:sz w:val="20"/>
                <w:szCs w:val="20"/>
              </w:rPr>
            </w:pPr>
          </w:p>
        </w:tc>
        <w:tc>
          <w:tcPr>
            <w:tcW w:w="1440" w:type="dxa"/>
            <w:tcBorders>
              <w:top w:val="single" w:sz="4" w:space="0" w:color="auto"/>
              <w:left w:val="nil"/>
              <w:bottom w:val="single" w:sz="4" w:space="0" w:color="auto"/>
              <w:right w:val="nil"/>
            </w:tcBorders>
          </w:tcPr>
          <w:p w:rsidR="0022223F" w:rsidRPr="007D2A81" w:rsidRDefault="0022223F" w:rsidP="00D82B95">
            <w:pPr>
              <w:ind w:right="-108"/>
              <w:jc w:val="center"/>
              <w:rPr>
                <w:sz w:val="20"/>
                <w:szCs w:val="20"/>
              </w:rPr>
            </w:pPr>
            <w:r w:rsidRPr="007D2A81">
              <w:rPr>
                <w:sz w:val="20"/>
                <w:szCs w:val="20"/>
              </w:rPr>
              <w:t>Arrears as at 1</w:t>
            </w:r>
            <w:r w:rsidRPr="007D2A81">
              <w:rPr>
                <w:sz w:val="20"/>
                <w:szCs w:val="20"/>
                <w:vertAlign w:val="superscript"/>
              </w:rPr>
              <w:t>st</w:t>
            </w:r>
            <w:r w:rsidRPr="007D2A81">
              <w:rPr>
                <w:sz w:val="20"/>
                <w:szCs w:val="20"/>
              </w:rPr>
              <w:t xml:space="preserve"> of April</w:t>
            </w:r>
          </w:p>
        </w:tc>
        <w:tc>
          <w:tcPr>
            <w:tcW w:w="1620" w:type="dxa"/>
            <w:tcBorders>
              <w:top w:val="single" w:sz="4" w:space="0" w:color="auto"/>
              <w:left w:val="nil"/>
              <w:bottom w:val="single" w:sz="4" w:space="0" w:color="auto"/>
              <w:right w:val="single" w:sz="4" w:space="0" w:color="auto"/>
            </w:tcBorders>
          </w:tcPr>
          <w:p w:rsidR="0022223F" w:rsidRPr="007D2A81" w:rsidRDefault="0022223F" w:rsidP="00D82B95">
            <w:pPr>
              <w:jc w:val="center"/>
              <w:rPr>
                <w:sz w:val="20"/>
                <w:szCs w:val="20"/>
              </w:rPr>
            </w:pPr>
            <w:r w:rsidRPr="007D2A81">
              <w:rPr>
                <w:sz w:val="20"/>
                <w:szCs w:val="20"/>
              </w:rPr>
              <w:t>Arrears as at Qtr</w:t>
            </w:r>
            <w:r>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22223F" w:rsidRPr="007D2A81" w:rsidRDefault="0022223F" w:rsidP="00D82B95">
            <w:pPr>
              <w:jc w:val="center"/>
              <w:rPr>
                <w:sz w:val="20"/>
                <w:szCs w:val="20"/>
              </w:rPr>
            </w:pPr>
            <w:r w:rsidRPr="007D2A81">
              <w:rPr>
                <w:sz w:val="20"/>
                <w:szCs w:val="20"/>
              </w:rPr>
              <w:t xml:space="preserve">BDP </w:t>
            </w:r>
          </w:p>
        </w:tc>
        <w:tc>
          <w:tcPr>
            <w:tcW w:w="1800" w:type="dxa"/>
            <w:tcBorders>
              <w:top w:val="single" w:sz="4" w:space="0" w:color="auto"/>
              <w:left w:val="single" w:sz="4" w:space="0" w:color="auto"/>
              <w:bottom w:val="single" w:sz="4" w:space="0" w:color="auto"/>
              <w:right w:val="single" w:sz="4" w:space="0" w:color="auto"/>
            </w:tcBorders>
          </w:tcPr>
          <w:p w:rsidR="0022223F" w:rsidRPr="007D2A81" w:rsidRDefault="0022223F" w:rsidP="00D82B95">
            <w:pPr>
              <w:rPr>
                <w:sz w:val="20"/>
                <w:szCs w:val="20"/>
              </w:rPr>
            </w:pPr>
            <w:r>
              <w:rPr>
                <w:b/>
                <w:bCs/>
                <w:sz w:val="20"/>
                <w:szCs w:val="20"/>
              </w:rPr>
              <w:t xml:space="preserve">BDP </w:t>
            </w:r>
            <w:r w:rsidRPr="007D2A81">
              <w:rPr>
                <w:b/>
                <w:bCs/>
                <w:sz w:val="20"/>
                <w:szCs w:val="20"/>
              </w:rPr>
              <w:t>as at Qtr</w:t>
            </w:r>
            <w:r>
              <w:rPr>
                <w:b/>
                <w:bCs/>
                <w:sz w:val="20"/>
                <w:szCs w:val="20"/>
              </w:rPr>
              <w:t>2</w:t>
            </w:r>
          </w:p>
        </w:tc>
      </w:tr>
      <w:tr w:rsidR="0022223F">
        <w:trPr>
          <w:trHeight w:val="170"/>
        </w:trPr>
        <w:tc>
          <w:tcPr>
            <w:tcW w:w="3425" w:type="dxa"/>
            <w:tcBorders>
              <w:top w:val="nil"/>
              <w:left w:val="single" w:sz="4" w:space="0" w:color="auto"/>
              <w:bottom w:val="single" w:sz="4" w:space="0" w:color="auto"/>
              <w:right w:val="single" w:sz="4" w:space="0" w:color="auto"/>
            </w:tcBorders>
            <w:noWrap/>
            <w:vAlign w:val="bottom"/>
          </w:tcPr>
          <w:p w:rsidR="0022223F" w:rsidRDefault="0022223F" w:rsidP="00D82B95"/>
        </w:tc>
        <w:tc>
          <w:tcPr>
            <w:tcW w:w="1440" w:type="dxa"/>
            <w:tcBorders>
              <w:top w:val="nil"/>
              <w:left w:val="nil"/>
              <w:bottom w:val="single" w:sz="4" w:space="0" w:color="auto"/>
              <w:right w:val="nil"/>
            </w:tcBorders>
            <w:vAlign w:val="bottom"/>
          </w:tcPr>
          <w:p w:rsidR="0022223F" w:rsidRDefault="0022223F" w:rsidP="00D82B95">
            <w:pPr>
              <w:jc w:val="center"/>
            </w:pPr>
            <w:r>
              <w:t>£000</w:t>
            </w:r>
          </w:p>
        </w:tc>
        <w:tc>
          <w:tcPr>
            <w:tcW w:w="1620" w:type="dxa"/>
            <w:tcBorders>
              <w:top w:val="single" w:sz="4" w:space="0" w:color="auto"/>
              <w:left w:val="nil"/>
              <w:bottom w:val="single" w:sz="4" w:space="0" w:color="auto"/>
              <w:right w:val="single" w:sz="4" w:space="0" w:color="auto"/>
            </w:tcBorders>
            <w:vAlign w:val="bottom"/>
          </w:tcPr>
          <w:p w:rsidR="0022223F" w:rsidRDefault="0022223F" w:rsidP="00D82B95">
            <w:pPr>
              <w:jc w:val="center"/>
            </w:pPr>
            <w:r>
              <w:t>£000</w:t>
            </w:r>
          </w:p>
        </w:tc>
        <w:tc>
          <w:tcPr>
            <w:tcW w:w="1260" w:type="dxa"/>
            <w:tcBorders>
              <w:top w:val="nil"/>
              <w:left w:val="single" w:sz="4" w:space="0" w:color="auto"/>
              <w:bottom w:val="single" w:sz="4" w:space="0" w:color="auto"/>
              <w:right w:val="single" w:sz="4" w:space="0" w:color="auto"/>
            </w:tcBorders>
            <w:vAlign w:val="bottom"/>
          </w:tcPr>
          <w:p w:rsidR="0022223F" w:rsidRDefault="0022223F" w:rsidP="00D82B95">
            <w:pPr>
              <w:jc w:val="center"/>
            </w:pPr>
            <w:r>
              <w:t>%</w:t>
            </w:r>
          </w:p>
        </w:tc>
        <w:tc>
          <w:tcPr>
            <w:tcW w:w="1800" w:type="dxa"/>
            <w:tcBorders>
              <w:top w:val="single" w:sz="4" w:space="0" w:color="auto"/>
              <w:left w:val="nil"/>
              <w:bottom w:val="single" w:sz="4" w:space="0" w:color="auto"/>
              <w:right w:val="single" w:sz="4" w:space="0" w:color="auto"/>
            </w:tcBorders>
            <w:vAlign w:val="bottom"/>
          </w:tcPr>
          <w:p w:rsidR="0022223F" w:rsidRDefault="0022223F" w:rsidP="00D82B95">
            <w:pPr>
              <w:jc w:val="center"/>
            </w:pPr>
            <w:r>
              <w:t>£000</w:t>
            </w:r>
          </w:p>
        </w:tc>
      </w:tr>
      <w:tr w:rsidR="0022223F">
        <w:trPr>
          <w:trHeight w:val="170"/>
        </w:trPr>
        <w:tc>
          <w:tcPr>
            <w:tcW w:w="3425" w:type="dxa"/>
            <w:tcBorders>
              <w:top w:val="nil"/>
              <w:left w:val="single" w:sz="4" w:space="0" w:color="auto"/>
              <w:bottom w:val="single" w:sz="4" w:space="0" w:color="auto"/>
              <w:right w:val="single" w:sz="4" w:space="0" w:color="auto"/>
            </w:tcBorders>
            <w:noWrap/>
            <w:vAlign w:val="bottom"/>
          </w:tcPr>
          <w:p w:rsidR="0022223F" w:rsidRDefault="0022223F" w:rsidP="00D82B95">
            <w:r>
              <w:t xml:space="preserve">Pre 2008-2019 </w:t>
            </w:r>
          </w:p>
        </w:tc>
        <w:tc>
          <w:tcPr>
            <w:tcW w:w="1440" w:type="dxa"/>
            <w:tcBorders>
              <w:top w:val="nil"/>
              <w:left w:val="nil"/>
              <w:bottom w:val="single" w:sz="4" w:space="0" w:color="auto"/>
              <w:right w:val="nil"/>
            </w:tcBorders>
            <w:shd w:val="clear" w:color="auto" w:fill="C0C0C0"/>
          </w:tcPr>
          <w:p w:rsidR="0022223F" w:rsidRDefault="0022223F" w:rsidP="00D82B95">
            <w:pPr>
              <w:jc w:val="right"/>
            </w:pPr>
            <w:r>
              <w:t>654</w:t>
            </w:r>
          </w:p>
        </w:tc>
        <w:tc>
          <w:tcPr>
            <w:tcW w:w="1620" w:type="dxa"/>
            <w:tcBorders>
              <w:top w:val="single" w:sz="4" w:space="0" w:color="auto"/>
              <w:left w:val="nil"/>
              <w:bottom w:val="single" w:sz="4" w:space="0" w:color="auto"/>
              <w:right w:val="single" w:sz="4" w:space="0" w:color="auto"/>
            </w:tcBorders>
          </w:tcPr>
          <w:p w:rsidR="0022223F" w:rsidRDefault="0022223F" w:rsidP="00D82B95">
            <w:pPr>
              <w:jc w:val="right"/>
            </w:pPr>
            <w:r>
              <w:t>590</w:t>
            </w:r>
          </w:p>
        </w:tc>
        <w:tc>
          <w:tcPr>
            <w:tcW w:w="1260" w:type="dxa"/>
            <w:tcBorders>
              <w:top w:val="nil"/>
              <w:left w:val="single" w:sz="4" w:space="0" w:color="auto"/>
              <w:bottom w:val="single" w:sz="4" w:space="0" w:color="auto"/>
              <w:right w:val="single" w:sz="4" w:space="0" w:color="auto"/>
            </w:tcBorders>
          </w:tcPr>
          <w:p w:rsidR="0022223F" w:rsidRDefault="0022223F" w:rsidP="00D82B95">
            <w:pPr>
              <w:jc w:val="right"/>
            </w:pPr>
            <w:r>
              <w:t>100</w:t>
            </w:r>
          </w:p>
        </w:tc>
        <w:tc>
          <w:tcPr>
            <w:tcW w:w="1800" w:type="dxa"/>
            <w:tcBorders>
              <w:top w:val="single" w:sz="4" w:space="0" w:color="auto"/>
              <w:left w:val="nil"/>
              <w:bottom w:val="single" w:sz="4" w:space="0" w:color="auto"/>
              <w:right w:val="single" w:sz="4" w:space="0" w:color="auto"/>
            </w:tcBorders>
          </w:tcPr>
          <w:p w:rsidR="0022223F" w:rsidRDefault="0022223F" w:rsidP="00D82B95">
            <w:pPr>
              <w:jc w:val="right"/>
            </w:pPr>
            <w:r>
              <w:t>590</w:t>
            </w:r>
          </w:p>
        </w:tc>
      </w:tr>
      <w:tr w:rsidR="0022223F">
        <w:trPr>
          <w:trHeight w:val="255"/>
        </w:trPr>
        <w:tc>
          <w:tcPr>
            <w:tcW w:w="3425" w:type="dxa"/>
            <w:tcBorders>
              <w:top w:val="nil"/>
              <w:left w:val="single" w:sz="4" w:space="0" w:color="auto"/>
              <w:bottom w:val="single" w:sz="4" w:space="0" w:color="auto"/>
              <w:right w:val="single" w:sz="4" w:space="0" w:color="auto"/>
            </w:tcBorders>
            <w:noWrap/>
            <w:vAlign w:val="bottom"/>
          </w:tcPr>
          <w:p w:rsidR="0022223F" w:rsidRDefault="0022223F" w:rsidP="00D82B95">
            <w:r>
              <w:t xml:space="preserve">2010-2011 </w:t>
            </w:r>
          </w:p>
        </w:tc>
        <w:tc>
          <w:tcPr>
            <w:tcW w:w="1440" w:type="dxa"/>
            <w:tcBorders>
              <w:top w:val="nil"/>
              <w:left w:val="nil"/>
              <w:bottom w:val="single" w:sz="4" w:space="0" w:color="auto"/>
              <w:right w:val="nil"/>
            </w:tcBorders>
            <w:shd w:val="clear" w:color="auto" w:fill="C0C0C0"/>
          </w:tcPr>
          <w:p w:rsidR="0022223F" w:rsidRDefault="0022223F" w:rsidP="00D82B95">
            <w:pPr>
              <w:jc w:val="right"/>
            </w:pPr>
            <w:r>
              <w:t>566</w:t>
            </w:r>
          </w:p>
        </w:tc>
        <w:tc>
          <w:tcPr>
            <w:tcW w:w="1620" w:type="dxa"/>
            <w:tcBorders>
              <w:top w:val="single" w:sz="4" w:space="0" w:color="auto"/>
              <w:left w:val="nil"/>
              <w:bottom w:val="single" w:sz="4" w:space="0" w:color="auto"/>
              <w:right w:val="single" w:sz="4" w:space="0" w:color="auto"/>
            </w:tcBorders>
          </w:tcPr>
          <w:p w:rsidR="0022223F" w:rsidRDefault="0022223F" w:rsidP="00D82B95">
            <w:pPr>
              <w:jc w:val="right"/>
            </w:pPr>
            <w:r>
              <w:t>513</w:t>
            </w:r>
          </w:p>
        </w:tc>
        <w:tc>
          <w:tcPr>
            <w:tcW w:w="1260" w:type="dxa"/>
            <w:tcBorders>
              <w:top w:val="nil"/>
              <w:left w:val="single" w:sz="4" w:space="0" w:color="auto"/>
              <w:bottom w:val="single" w:sz="4" w:space="0" w:color="auto"/>
              <w:right w:val="single" w:sz="4" w:space="0" w:color="auto"/>
            </w:tcBorders>
          </w:tcPr>
          <w:p w:rsidR="0022223F" w:rsidRDefault="0022223F" w:rsidP="00D82B95">
            <w:pPr>
              <w:jc w:val="right"/>
            </w:pPr>
            <w:r>
              <w:t>100</w:t>
            </w:r>
          </w:p>
        </w:tc>
        <w:tc>
          <w:tcPr>
            <w:tcW w:w="1800" w:type="dxa"/>
            <w:tcBorders>
              <w:top w:val="single" w:sz="4" w:space="0" w:color="auto"/>
              <w:left w:val="nil"/>
              <w:bottom w:val="single" w:sz="4" w:space="0" w:color="auto"/>
              <w:right w:val="single" w:sz="4" w:space="0" w:color="auto"/>
            </w:tcBorders>
          </w:tcPr>
          <w:p w:rsidR="0022223F" w:rsidRDefault="0022223F" w:rsidP="00D82B95">
            <w:pPr>
              <w:jc w:val="right"/>
            </w:pPr>
            <w:r>
              <w:t>513</w:t>
            </w:r>
          </w:p>
        </w:tc>
      </w:tr>
      <w:tr w:rsidR="0022223F">
        <w:trPr>
          <w:trHeight w:val="255"/>
        </w:trPr>
        <w:tc>
          <w:tcPr>
            <w:tcW w:w="3425" w:type="dxa"/>
            <w:tcBorders>
              <w:top w:val="nil"/>
              <w:left w:val="single" w:sz="4" w:space="0" w:color="auto"/>
              <w:bottom w:val="single" w:sz="4" w:space="0" w:color="auto"/>
              <w:right w:val="single" w:sz="4" w:space="0" w:color="auto"/>
            </w:tcBorders>
            <w:noWrap/>
            <w:vAlign w:val="bottom"/>
          </w:tcPr>
          <w:p w:rsidR="0022223F" w:rsidRDefault="0022223F" w:rsidP="00D82B95">
            <w:r>
              <w:t xml:space="preserve">2011-2012 </w:t>
            </w:r>
          </w:p>
        </w:tc>
        <w:tc>
          <w:tcPr>
            <w:tcW w:w="1440" w:type="dxa"/>
            <w:tcBorders>
              <w:top w:val="nil"/>
              <w:left w:val="nil"/>
              <w:bottom w:val="single" w:sz="4" w:space="0" w:color="auto"/>
              <w:right w:val="nil"/>
            </w:tcBorders>
            <w:shd w:val="clear" w:color="auto" w:fill="C0C0C0"/>
          </w:tcPr>
          <w:p w:rsidR="0022223F" w:rsidRDefault="0022223F" w:rsidP="00D82B95">
            <w:pPr>
              <w:jc w:val="right"/>
            </w:pPr>
            <w:r>
              <w:t>707</w:t>
            </w:r>
          </w:p>
        </w:tc>
        <w:tc>
          <w:tcPr>
            <w:tcW w:w="1620" w:type="dxa"/>
            <w:tcBorders>
              <w:top w:val="single" w:sz="4" w:space="0" w:color="auto"/>
              <w:left w:val="nil"/>
              <w:bottom w:val="single" w:sz="4" w:space="0" w:color="auto"/>
              <w:right w:val="single" w:sz="4" w:space="0" w:color="auto"/>
            </w:tcBorders>
          </w:tcPr>
          <w:p w:rsidR="0022223F" w:rsidRDefault="0022223F" w:rsidP="00D82B95">
            <w:pPr>
              <w:jc w:val="right"/>
            </w:pPr>
            <w:r>
              <w:t>649</w:t>
            </w:r>
          </w:p>
        </w:tc>
        <w:tc>
          <w:tcPr>
            <w:tcW w:w="1260" w:type="dxa"/>
            <w:tcBorders>
              <w:top w:val="nil"/>
              <w:left w:val="single" w:sz="4" w:space="0" w:color="auto"/>
              <w:bottom w:val="single" w:sz="4" w:space="0" w:color="auto"/>
              <w:right w:val="single" w:sz="4" w:space="0" w:color="auto"/>
            </w:tcBorders>
          </w:tcPr>
          <w:p w:rsidR="0022223F" w:rsidRDefault="0022223F" w:rsidP="00D82B95">
            <w:pPr>
              <w:jc w:val="right"/>
            </w:pPr>
            <w:r>
              <w:t>100</w:t>
            </w:r>
          </w:p>
        </w:tc>
        <w:tc>
          <w:tcPr>
            <w:tcW w:w="1800" w:type="dxa"/>
            <w:tcBorders>
              <w:top w:val="single" w:sz="4" w:space="0" w:color="auto"/>
              <w:left w:val="nil"/>
              <w:bottom w:val="single" w:sz="4" w:space="0" w:color="auto"/>
              <w:right w:val="single" w:sz="4" w:space="0" w:color="auto"/>
            </w:tcBorders>
          </w:tcPr>
          <w:p w:rsidR="0022223F" w:rsidRDefault="0022223F" w:rsidP="00D82B95">
            <w:pPr>
              <w:jc w:val="right"/>
            </w:pPr>
            <w:r>
              <w:t>649</w:t>
            </w:r>
          </w:p>
        </w:tc>
      </w:tr>
      <w:tr w:rsidR="0022223F">
        <w:trPr>
          <w:trHeight w:val="255"/>
        </w:trPr>
        <w:tc>
          <w:tcPr>
            <w:tcW w:w="3425" w:type="dxa"/>
            <w:tcBorders>
              <w:top w:val="nil"/>
              <w:left w:val="single" w:sz="4" w:space="0" w:color="auto"/>
              <w:bottom w:val="single" w:sz="4" w:space="0" w:color="auto"/>
              <w:right w:val="single" w:sz="4" w:space="0" w:color="auto"/>
            </w:tcBorders>
            <w:noWrap/>
            <w:vAlign w:val="bottom"/>
          </w:tcPr>
          <w:p w:rsidR="0022223F" w:rsidRDefault="0022223F" w:rsidP="00D82B95">
            <w:r>
              <w:t xml:space="preserve">2012-2013 </w:t>
            </w:r>
          </w:p>
        </w:tc>
        <w:tc>
          <w:tcPr>
            <w:tcW w:w="1440" w:type="dxa"/>
            <w:tcBorders>
              <w:top w:val="nil"/>
              <w:left w:val="nil"/>
              <w:bottom w:val="single" w:sz="4" w:space="0" w:color="auto"/>
              <w:right w:val="nil"/>
            </w:tcBorders>
            <w:shd w:val="clear" w:color="auto" w:fill="C0C0C0"/>
          </w:tcPr>
          <w:p w:rsidR="0022223F" w:rsidRDefault="0022223F" w:rsidP="00D82B95">
            <w:pPr>
              <w:jc w:val="right"/>
            </w:pPr>
            <w:r>
              <w:t>1,015</w:t>
            </w:r>
          </w:p>
        </w:tc>
        <w:tc>
          <w:tcPr>
            <w:tcW w:w="1620" w:type="dxa"/>
            <w:tcBorders>
              <w:top w:val="single" w:sz="4" w:space="0" w:color="auto"/>
              <w:left w:val="nil"/>
              <w:bottom w:val="single" w:sz="4" w:space="0" w:color="auto"/>
              <w:right w:val="single" w:sz="4" w:space="0" w:color="auto"/>
            </w:tcBorders>
          </w:tcPr>
          <w:p w:rsidR="0022223F" w:rsidRDefault="0022223F" w:rsidP="00D82B95">
            <w:pPr>
              <w:jc w:val="right"/>
            </w:pPr>
            <w:r>
              <w:t>879</w:t>
            </w:r>
          </w:p>
        </w:tc>
        <w:tc>
          <w:tcPr>
            <w:tcW w:w="1260" w:type="dxa"/>
            <w:tcBorders>
              <w:top w:val="nil"/>
              <w:left w:val="single" w:sz="4" w:space="0" w:color="auto"/>
              <w:bottom w:val="single" w:sz="4" w:space="0" w:color="auto"/>
              <w:right w:val="single" w:sz="4" w:space="0" w:color="auto"/>
            </w:tcBorders>
          </w:tcPr>
          <w:p w:rsidR="0022223F" w:rsidRDefault="0022223F" w:rsidP="00D82B95">
            <w:pPr>
              <w:jc w:val="right"/>
            </w:pPr>
            <w:r>
              <w:t>100</w:t>
            </w:r>
          </w:p>
        </w:tc>
        <w:tc>
          <w:tcPr>
            <w:tcW w:w="1800" w:type="dxa"/>
            <w:tcBorders>
              <w:top w:val="single" w:sz="4" w:space="0" w:color="auto"/>
              <w:left w:val="nil"/>
              <w:bottom w:val="single" w:sz="4" w:space="0" w:color="auto"/>
              <w:right w:val="single" w:sz="4" w:space="0" w:color="auto"/>
            </w:tcBorders>
          </w:tcPr>
          <w:p w:rsidR="0022223F" w:rsidRDefault="0022223F" w:rsidP="00D82B95">
            <w:pPr>
              <w:jc w:val="right"/>
            </w:pPr>
            <w:r>
              <w:t>879</w:t>
            </w:r>
          </w:p>
        </w:tc>
      </w:tr>
      <w:tr w:rsidR="0022223F">
        <w:trPr>
          <w:trHeight w:val="255"/>
        </w:trPr>
        <w:tc>
          <w:tcPr>
            <w:tcW w:w="3425" w:type="dxa"/>
            <w:tcBorders>
              <w:top w:val="nil"/>
              <w:left w:val="single" w:sz="4" w:space="0" w:color="auto"/>
              <w:bottom w:val="single" w:sz="4" w:space="0" w:color="auto"/>
              <w:right w:val="single" w:sz="4" w:space="0" w:color="auto"/>
            </w:tcBorders>
            <w:noWrap/>
            <w:vAlign w:val="bottom"/>
          </w:tcPr>
          <w:p w:rsidR="0022223F" w:rsidRDefault="0022223F" w:rsidP="00D82B95">
            <w:r>
              <w:t>2013-2014</w:t>
            </w:r>
          </w:p>
        </w:tc>
        <w:tc>
          <w:tcPr>
            <w:tcW w:w="1440" w:type="dxa"/>
            <w:tcBorders>
              <w:top w:val="nil"/>
              <w:left w:val="nil"/>
              <w:bottom w:val="single" w:sz="4" w:space="0" w:color="auto"/>
              <w:right w:val="nil"/>
            </w:tcBorders>
            <w:shd w:val="clear" w:color="auto" w:fill="C0C0C0"/>
          </w:tcPr>
          <w:p w:rsidR="0022223F" w:rsidRDefault="0022223F" w:rsidP="00D82B95">
            <w:pPr>
              <w:jc w:val="right"/>
            </w:pPr>
            <w:r>
              <w:t>3,131</w:t>
            </w:r>
          </w:p>
        </w:tc>
        <w:tc>
          <w:tcPr>
            <w:tcW w:w="1620" w:type="dxa"/>
            <w:tcBorders>
              <w:top w:val="single" w:sz="4" w:space="0" w:color="auto"/>
              <w:left w:val="nil"/>
              <w:bottom w:val="single" w:sz="4" w:space="0" w:color="auto"/>
              <w:right w:val="single" w:sz="4" w:space="0" w:color="auto"/>
            </w:tcBorders>
          </w:tcPr>
          <w:p w:rsidR="0022223F" w:rsidRDefault="0022223F" w:rsidP="00D82B95">
            <w:pPr>
              <w:jc w:val="right"/>
            </w:pPr>
            <w:r>
              <w:t>1,970</w:t>
            </w:r>
          </w:p>
        </w:tc>
        <w:tc>
          <w:tcPr>
            <w:tcW w:w="1260" w:type="dxa"/>
            <w:tcBorders>
              <w:top w:val="nil"/>
              <w:left w:val="single" w:sz="4" w:space="0" w:color="auto"/>
              <w:bottom w:val="single" w:sz="4" w:space="0" w:color="auto"/>
              <w:right w:val="single" w:sz="4" w:space="0" w:color="auto"/>
            </w:tcBorders>
          </w:tcPr>
          <w:p w:rsidR="0022223F" w:rsidRDefault="0022223F" w:rsidP="00D82B95">
            <w:pPr>
              <w:jc w:val="right"/>
            </w:pPr>
            <w:r>
              <w:t>75</w:t>
            </w:r>
          </w:p>
        </w:tc>
        <w:tc>
          <w:tcPr>
            <w:tcW w:w="1800" w:type="dxa"/>
            <w:tcBorders>
              <w:top w:val="single" w:sz="4" w:space="0" w:color="auto"/>
              <w:left w:val="nil"/>
              <w:bottom w:val="single" w:sz="4" w:space="0" w:color="auto"/>
              <w:right w:val="single" w:sz="4" w:space="0" w:color="auto"/>
            </w:tcBorders>
          </w:tcPr>
          <w:p w:rsidR="0022223F" w:rsidRDefault="0022223F" w:rsidP="00D82B95">
            <w:pPr>
              <w:jc w:val="right"/>
            </w:pPr>
            <w:r>
              <w:t>1,478</w:t>
            </w:r>
          </w:p>
        </w:tc>
      </w:tr>
      <w:tr w:rsidR="0022223F">
        <w:trPr>
          <w:trHeight w:val="255"/>
        </w:trPr>
        <w:tc>
          <w:tcPr>
            <w:tcW w:w="3425" w:type="dxa"/>
            <w:tcBorders>
              <w:top w:val="nil"/>
              <w:left w:val="single" w:sz="4" w:space="0" w:color="auto"/>
              <w:bottom w:val="single" w:sz="4" w:space="0" w:color="auto"/>
              <w:right w:val="single" w:sz="4" w:space="0" w:color="auto"/>
            </w:tcBorders>
            <w:noWrap/>
            <w:vAlign w:val="bottom"/>
          </w:tcPr>
          <w:p w:rsidR="0022223F" w:rsidRDefault="0022223F" w:rsidP="00D82B95">
            <w:r>
              <w:t>2014-2015</w:t>
            </w:r>
          </w:p>
        </w:tc>
        <w:tc>
          <w:tcPr>
            <w:tcW w:w="1440" w:type="dxa"/>
            <w:tcBorders>
              <w:top w:val="nil"/>
              <w:left w:val="nil"/>
              <w:bottom w:val="single" w:sz="4" w:space="0" w:color="auto"/>
              <w:right w:val="nil"/>
            </w:tcBorders>
            <w:shd w:val="clear" w:color="auto" w:fill="C0C0C0"/>
          </w:tcPr>
          <w:p w:rsidR="0022223F" w:rsidRDefault="0022223F" w:rsidP="00D82B95">
            <w:pPr>
              <w:jc w:val="right"/>
            </w:pPr>
            <w:r>
              <w:t>n/a</w:t>
            </w:r>
          </w:p>
        </w:tc>
        <w:tc>
          <w:tcPr>
            <w:tcW w:w="1620" w:type="dxa"/>
            <w:tcBorders>
              <w:top w:val="single" w:sz="4" w:space="0" w:color="auto"/>
              <w:left w:val="nil"/>
              <w:bottom w:val="single" w:sz="4" w:space="0" w:color="auto"/>
              <w:right w:val="single" w:sz="4" w:space="0" w:color="auto"/>
            </w:tcBorders>
          </w:tcPr>
          <w:p w:rsidR="0022223F" w:rsidRDefault="0022223F" w:rsidP="00D82B95">
            <w:pPr>
              <w:jc w:val="right"/>
            </w:pPr>
            <w:r>
              <w:t>n/a</w:t>
            </w:r>
          </w:p>
        </w:tc>
        <w:tc>
          <w:tcPr>
            <w:tcW w:w="1260" w:type="dxa"/>
            <w:tcBorders>
              <w:top w:val="nil"/>
              <w:left w:val="single" w:sz="4" w:space="0" w:color="auto"/>
              <w:bottom w:val="single" w:sz="4" w:space="0" w:color="auto"/>
              <w:right w:val="single" w:sz="4" w:space="0" w:color="auto"/>
            </w:tcBorders>
          </w:tcPr>
          <w:p w:rsidR="0022223F" w:rsidRDefault="0022223F" w:rsidP="00D82B95">
            <w:pPr>
              <w:jc w:val="right"/>
            </w:pPr>
            <w:r>
              <w:t>65</w:t>
            </w:r>
          </w:p>
        </w:tc>
        <w:tc>
          <w:tcPr>
            <w:tcW w:w="1800" w:type="dxa"/>
            <w:tcBorders>
              <w:top w:val="single" w:sz="4" w:space="0" w:color="auto"/>
              <w:left w:val="nil"/>
              <w:bottom w:val="single" w:sz="4" w:space="0" w:color="auto"/>
              <w:right w:val="single" w:sz="4" w:space="0" w:color="auto"/>
            </w:tcBorders>
          </w:tcPr>
          <w:p w:rsidR="0022223F" w:rsidRDefault="0022223F" w:rsidP="00D82B95">
            <w:pPr>
              <w:jc w:val="right"/>
            </w:pPr>
            <w:r>
              <w:t>0</w:t>
            </w:r>
          </w:p>
        </w:tc>
      </w:tr>
      <w:tr w:rsidR="0022223F">
        <w:trPr>
          <w:trHeight w:val="255"/>
        </w:trPr>
        <w:tc>
          <w:tcPr>
            <w:tcW w:w="3425" w:type="dxa"/>
            <w:tcBorders>
              <w:top w:val="nil"/>
              <w:left w:val="single" w:sz="4" w:space="0" w:color="auto"/>
              <w:bottom w:val="single" w:sz="4" w:space="0" w:color="auto"/>
              <w:right w:val="single" w:sz="4" w:space="0" w:color="auto"/>
            </w:tcBorders>
            <w:noWrap/>
          </w:tcPr>
          <w:p w:rsidR="0022223F" w:rsidRDefault="0022223F" w:rsidP="00D82B95">
            <w:pPr>
              <w:rPr>
                <w:b/>
                <w:bCs/>
              </w:rPr>
            </w:pPr>
            <w:r>
              <w:rPr>
                <w:b/>
                <w:bCs/>
              </w:rPr>
              <w:t>Total</w:t>
            </w:r>
          </w:p>
        </w:tc>
        <w:tc>
          <w:tcPr>
            <w:tcW w:w="1440" w:type="dxa"/>
            <w:tcBorders>
              <w:top w:val="nil"/>
              <w:left w:val="nil"/>
              <w:bottom w:val="single" w:sz="4" w:space="0" w:color="auto"/>
              <w:right w:val="nil"/>
            </w:tcBorders>
            <w:shd w:val="clear" w:color="auto" w:fill="C0C0C0"/>
          </w:tcPr>
          <w:p w:rsidR="0022223F" w:rsidRDefault="0022223F" w:rsidP="00D82B95">
            <w:pPr>
              <w:jc w:val="right"/>
              <w:rPr>
                <w:b/>
                <w:bCs/>
              </w:rPr>
            </w:pPr>
            <w:r>
              <w:rPr>
                <w:b/>
                <w:bCs/>
              </w:rPr>
              <w:t>6,073</w:t>
            </w:r>
          </w:p>
        </w:tc>
        <w:tc>
          <w:tcPr>
            <w:tcW w:w="1620" w:type="dxa"/>
            <w:tcBorders>
              <w:top w:val="single" w:sz="4" w:space="0" w:color="auto"/>
              <w:left w:val="nil"/>
              <w:bottom w:val="single" w:sz="4" w:space="0" w:color="auto"/>
              <w:right w:val="single" w:sz="4" w:space="0" w:color="auto"/>
            </w:tcBorders>
          </w:tcPr>
          <w:p w:rsidR="0022223F" w:rsidRDefault="0022223F" w:rsidP="00D82B95">
            <w:pPr>
              <w:jc w:val="right"/>
              <w:rPr>
                <w:b/>
                <w:bCs/>
              </w:rPr>
            </w:pPr>
            <w:r>
              <w:rPr>
                <w:b/>
                <w:bCs/>
              </w:rPr>
              <w:t>4,601</w:t>
            </w:r>
          </w:p>
        </w:tc>
        <w:tc>
          <w:tcPr>
            <w:tcW w:w="1260" w:type="dxa"/>
            <w:tcBorders>
              <w:top w:val="nil"/>
              <w:left w:val="single" w:sz="4" w:space="0" w:color="auto"/>
              <w:bottom w:val="single" w:sz="4" w:space="0" w:color="auto"/>
              <w:right w:val="single" w:sz="4" w:space="0" w:color="auto"/>
            </w:tcBorders>
          </w:tcPr>
          <w:p w:rsidR="0022223F" w:rsidRDefault="0022223F" w:rsidP="00D82B95">
            <w:pPr>
              <w:jc w:val="right"/>
              <w:rPr>
                <w:b/>
                <w:bCs/>
              </w:rPr>
            </w:pPr>
          </w:p>
        </w:tc>
        <w:tc>
          <w:tcPr>
            <w:tcW w:w="1800" w:type="dxa"/>
            <w:tcBorders>
              <w:top w:val="single" w:sz="4" w:space="0" w:color="auto"/>
              <w:left w:val="nil"/>
              <w:bottom w:val="single" w:sz="4" w:space="0" w:color="auto"/>
              <w:right w:val="single" w:sz="4" w:space="0" w:color="auto"/>
            </w:tcBorders>
          </w:tcPr>
          <w:p w:rsidR="0022223F" w:rsidRDefault="0022223F" w:rsidP="00D82B95">
            <w:pPr>
              <w:jc w:val="right"/>
              <w:rPr>
                <w:b/>
                <w:bCs/>
              </w:rPr>
            </w:pPr>
            <w:r>
              <w:rPr>
                <w:b/>
                <w:bCs/>
              </w:rPr>
              <w:t>4,109</w:t>
            </w:r>
          </w:p>
        </w:tc>
      </w:tr>
    </w:tbl>
    <w:p w:rsidR="0022223F" w:rsidRDefault="0022223F" w:rsidP="009D3000">
      <w:pPr>
        <w:jc w:val="both"/>
        <w:rPr>
          <w:b/>
          <w:bCs/>
        </w:rPr>
      </w:pPr>
    </w:p>
    <w:p w:rsidR="0022223F" w:rsidRPr="000D499C" w:rsidRDefault="0022223F" w:rsidP="009D3000">
      <w:pPr>
        <w:jc w:val="both"/>
        <w:rPr>
          <w:b/>
          <w:bCs/>
        </w:rPr>
      </w:pPr>
      <w:r w:rsidRPr="000D499C">
        <w:rPr>
          <w:b/>
          <w:bCs/>
        </w:rPr>
        <w:t>National Non Domestic Rates (NNDR)</w:t>
      </w:r>
    </w:p>
    <w:p w:rsidR="0022223F" w:rsidRDefault="0022223F" w:rsidP="009D3000">
      <w:pPr>
        <w:tabs>
          <w:tab w:val="left" w:pos="5760"/>
        </w:tabs>
        <w:ind w:right="-900"/>
      </w:pPr>
      <w:r>
        <w:t xml:space="preserve">Currently, bad debt provisions </w:t>
      </w:r>
      <w:r w:rsidRPr="00D813D3">
        <w:t>of £2.235m</w:t>
      </w:r>
      <w:r w:rsidRPr="00750E63">
        <w:rPr>
          <w:b/>
          <w:bCs/>
        </w:rPr>
        <w:t>[£2.496m</w:t>
      </w:r>
      <w:r w:rsidRPr="00B87680">
        <w:t xml:space="preserve">- </w:t>
      </w:r>
      <w:r w:rsidRPr="00D813D3">
        <w:t>£0.261k;</w:t>
      </w:r>
      <w:r>
        <w:t xml:space="preserve"> w/offs done 01/04/14 to 30/09/14] exist for business rates (NNDR) against a potential BDP </w:t>
      </w:r>
      <w:r w:rsidRPr="005B2ED7">
        <w:t xml:space="preserve">of </w:t>
      </w:r>
      <w:r w:rsidRPr="00D46403">
        <w:t>£</w:t>
      </w:r>
      <w:r>
        <w:t>2</w:t>
      </w:r>
      <w:r w:rsidRPr="00D46403">
        <w:t>.</w:t>
      </w:r>
      <w:r>
        <w:t>488</w:t>
      </w:r>
      <w:r w:rsidRPr="00D46403">
        <w:t>m</w:t>
      </w:r>
      <w:r w:rsidRPr="00B87680">
        <w:t>.</w:t>
      </w:r>
      <w:r>
        <w:t>Under Business Rates retention, the effect on the local authority is 30% of any surplus or deficit.</w:t>
      </w:r>
    </w:p>
    <w:p w:rsidR="0022223F" w:rsidRDefault="0022223F" w:rsidP="009D3000">
      <w:pPr>
        <w:tabs>
          <w:tab w:val="left" w:pos="5760"/>
        </w:tabs>
        <w:ind w:right="-900"/>
      </w:pPr>
    </w:p>
    <w:p w:rsidR="0022223F" w:rsidRDefault="0022223F" w:rsidP="009D3000">
      <w:pPr>
        <w:tabs>
          <w:tab w:val="left" w:pos="5760"/>
        </w:tabs>
        <w:ind w:right="-900"/>
      </w:pPr>
    </w:p>
    <w:tbl>
      <w:tblPr>
        <w:tblW w:w="9545" w:type="dxa"/>
        <w:tblInd w:w="-106" w:type="dxa"/>
        <w:tblLayout w:type="fixed"/>
        <w:tblLook w:val="0000"/>
      </w:tblPr>
      <w:tblGrid>
        <w:gridCol w:w="3425"/>
        <w:gridCol w:w="1620"/>
        <w:gridCol w:w="1620"/>
        <w:gridCol w:w="1260"/>
        <w:gridCol w:w="1620"/>
      </w:tblGrid>
      <w:tr w:rsidR="0022223F" w:rsidRPr="007D2A81">
        <w:trPr>
          <w:trHeight w:val="527"/>
        </w:trPr>
        <w:tc>
          <w:tcPr>
            <w:tcW w:w="3425" w:type="dxa"/>
            <w:tcBorders>
              <w:top w:val="single" w:sz="4" w:space="0" w:color="auto"/>
              <w:left w:val="single" w:sz="4" w:space="0" w:color="auto"/>
              <w:bottom w:val="single" w:sz="4" w:space="0" w:color="auto"/>
              <w:right w:val="single" w:sz="4" w:space="0" w:color="auto"/>
            </w:tcBorders>
            <w:noWrap/>
          </w:tcPr>
          <w:p w:rsidR="0022223F" w:rsidRPr="00E04727" w:rsidRDefault="0022223F" w:rsidP="00D82B95">
            <w:pPr>
              <w:rPr>
                <w:b/>
                <w:bCs/>
                <w:sz w:val="20"/>
                <w:szCs w:val="20"/>
              </w:rPr>
            </w:pPr>
            <w:r w:rsidRPr="00E04727">
              <w:rPr>
                <w:b/>
                <w:bCs/>
                <w:sz w:val="20"/>
                <w:szCs w:val="20"/>
                <w:lang w:val="en-US"/>
              </w:rPr>
              <w:t>NATIONAL NON DOMESTIC RATES (NNDR)</w:t>
            </w:r>
          </w:p>
        </w:tc>
        <w:tc>
          <w:tcPr>
            <w:tcW w:w="1620" w:type="dxa"/>
            <w:tcBorders>
              <w:top w:val="single" w:sz="4" w:space="0" w:color="auto"/>
              <w:left w:val="nil"/>
              <w:bottom w:val="single" w:sz="4" w:space="0" w:color="auto"/>
              <w:right w:val="nil"/>
            </w:tcBorders>
          </w:tcPr>
          <w:p w:rsidR="0022223F" w:rsidRPr="007D2A81" w:rsidRDefault="0022223F" w:rsidP="00D82B95">
            <w:pPr>
              <w:ind w:right="-108"/>
              <w:jc w:val="center"/>
              <w:rPr>
                <w:sz w:val="20"/>
                <w:szCs w:val="20"/>
              </w:rPr>
            </w:pPr>
            <w:r w:rsidRPr="007D2A81">
              <w:rPr>
                <w:sz w:val="20"/>
                <w:szCs w:val="20"/>
              </w:rPr>
              <w:t>Arrears as at 1</w:t>
            </w:r>
            <w:r w:rsidRPr="007D2A81">
              <w:rPr>
                <w:sz w:val="20"/>
                <w:szCs w:val="20"/>
                <w:vertAlign w:val="superscript"/>
              </w:rPr>
              <w:t>st</w:t>
            </w:r>
            <w:r w:rsidRPr="007D2A81">
              <w:rPr>
                <w:sz w:val="20"/>
                <w:szCs w:val="20"/>
              </w:rPr>
              <w:t xml:space="preserve"> of April</w:t>
            </w:r>
          </w:p>
        </w:tc>
        <w:tc>
          <w:tcPr>
            <w:tcW w:w="1620" w:type="dxa"/>
            <w:tcBorders>
              <w:top w:val="single" w:sz="4" w:space="0" w:color="auto"/>
              <w:left w:val="nil"/>
              <w:bottom w:val="single" w:sz="4" w:space="0" w:color="auto"/>
              <w:right w:val="single" w:sz="4" w:space="0" w:color="auto"/>
            </w:tcBorders>
          </w:tcPr>
          <w:p w:rsidR="0022223F" w:rsidRPr="007D2A81" w:rsidRDefault="0022223F" w:rsidP="00D82B95">
            <w:pPr>
              <w:jc w:val="center"/>
              <w:rPr>
                <w:sz w:val="20"/>
                <w:szCs w:val="20"/>
              </w:rPr>
            </w:pPr>
            <w:r w:rsidRPr="007D2A81">
              <w:rPr>
                <w:sz w:val="20"/>
                <w:szCs w:val="20"/>
              </w:rPr>
              <w:t>Arrears as at Qtr</w:t>
            </w:r>
            <w:r>
              <w:rPr>
                <w:sz w:val="20"/>
                <w:szCs w:val="20"/>
              </w:rPr>
              <w:t>2</w:t>
            </w:r>
          </w:p>
        </w:tc>
        <w:tc>
          <w:tcPr>
            <w:tcW w:w="1260" w:type="dxa"/>
            <w:tcBorders>
              <w:top w:val="single" w:sz="4" w:space="0" w:color="auto"/>
              <w:left w:val="nil"/>
              <w:bottom w:val="single" w:sz="4" w:space="0" w:color="auto"/>
              <w:right w:val="single" w:sz="4" w:space="0" w:color="auto"/>
            </w:tcBorders>
          </w:tcPr>
          <w:p w:rsidR="0022223F" w:rsidRPr="007D2A81" w:rsidRDefault="0022223F" w:rsidP="00D82B95">
            <w:pPr>
              <w:jc w:val="center"/>
              <w:rPr>
                <w:sz w:val="20"/>
                <w:szCs w:val="20"/>
              </w:rPr>
            </w:pPr>
            <w:r w:rsidRPr="007D2A81">
              <w:rPr>
                <w:sz w:val="20"/>
                <w:szCs w:val="20"/>
              </w:rPr>
              <w:t xml:space="preserve">BDP </w:t>
            </w:r>
          </w:p>
        </w:tc>
        <w:tc>
          <w:tcPr>
            <w:tcW w:w="1620" w:type="dxa"/>
            <w:tcBorders>
              <w:top w:val="single" w:sz="4" w:space="0" w:color="auto"/>
              <w:left w:val="nil"/>
              <w:bottom w:val="single" w:sz="4" w:space="0" w:color="auto"/>
              <w:right w:val="single" w:sz="4" w:space="0" w:color="auto"/>
            </w:tcBorders>
          </w:tcPr>
          <w:p w:rsidR="0022223F" w:rsidRPr="007D2A81" w:rsidRDefault="0022223F" w:rsidP="00D82B95">
            <w:pPr>
              <w:jc w:val="center"/>
              <w:rPr>
                <w:sz w:val="20"/>
                <w:szCs w:val="20"/>
              </w:rPr>
            </w:pPr>
            <w:r>
              <w:rPr>
                <w:b/>
                <w:bCs/>
                <w:sz w:val="20"/>
                <w:szCs w:val="20"/>
              </w:rPr>
              <w:t xml:space="preserve">BDP </w:t>
            </w:r>
            <w:r w:rsidRPr="007D2A81">
              <w:rPr>
                <w:b/>
                <w:bCs/>
                <w:sz w:val="20"/>
                <w:szCs w:val="20"/>
              </w:rPr>
              <w:t>as at Qtr</w:t>
            </w:r>
            <w:r>
              <w:rPr>
                <w:b/>
                <w:bCs/>
                <w:sz w:val="20"/>
                <w:szCs w:val="20"/>
              </w:rPr>
              <w:t>2</w:t>
            </w:r>
          </w:p>
        </w:tc>
      </w:tr>
      <w:tr w:rsidR="0022223F" w:rsidRPr="002F6CFD">
        <w:trPr>
          <w:trHeight w:val="255"/>
        </w:trPr>
        <w:tc>
          <w:tcPr>
            <w:tcW w:w="3425" w:type="dxa"/>
            <w:tcBorders>
              <w:top w:val="nil"/>
              <w:left w:val="single" w:sz="4" w:space="0" w:color="auto"/>
              <w:bottom w:val="single" w:sz="4" w:space="0" w:color="auto"/>
              <w:right w:val="single" w:sz="4" w:space="0" w:color="auto"/>
            </w:tcBorders>
            <w:noWrap/>
            <w:vAlign w:val="bottom"/>
          </w:tcPr>
          <w:p w:rsidR="0022223F" w:rsidRPr="002F6CFD" w:rsidRDefault="0022223F" w:rsidP="00D82B95"/>
        </w:tc>
        <w:tc>
          <w:tcPr>
            <w:tcW w:w="1620" w:type="dxa"/>
            <w:tcBorders>
              <w:top w:val="nil"/>
              <w:left w:val="nil"/>
              <w:bottom w:val="single" w:sz="4" w:space="0" w:color="auto"/>
              <w:right w:val="nil"/>
            </w:tcBorders>
            <w:vAlign w:val="bottom"/>
          </w:tcPr>
          <w:p w:rsidR="0022223F" w:rsidRPr="002F6CFD" w:rsidRDefault="0022223F" w:rsidP="00D82B95">
            <w:pPr>
              <w:jc w:val="center"/>
            </w:pPr>
            <w:r w:rsidRPr="002F6CFD">
              <w:t>£000</w:t>
            </w:r>
          </w:p>
        </w:tc>
        <w:tc>
          <w:tcPr>
            <w:tcW w:w="1620" w:type="dxa"/>
            <w:tcBorders>
              <w:top w:val="single" w:sz="4" w:space="0" w:color="auto"/>
              <w:left w:val="nil"/>
              <w:bottom w:val="single" w:sz="4" w:space="0" w:color="auto"/>
              <w:right w:val="single" w:sz="4" w:space="0" w:color="auto"/>
            </w:tcBorders>
            <w:vAlign w:val="bottom"/>
          </w:tcPr>
          <w:p w:rsidR="0022223F" w:rsidRPr="002F6CFD" w:rsidRDefault="0022223F" w:rsidP="00D82B95">
            <w:pPr>
              <w:jc w:val="center"/>
            </w:pPr>
            <w:r w:rsidRPr="002F6CFD">
              <w:t>£000</w:t>
            </w:r>
          </w:p>
        </w:tc>
        <w:tc>
          <w:tcPr>
            <w:tcW w:w="1260" w:type="dxa"/>
            <w:tcBorders>
              <w:top w:val="single" w:sz="4" w:space="0" w:color="auto"/>
              <w:left w:val="nil"/>
              <w:bottom w:val="single" w:sz="4" w:space="0" w:color="auto"/>
              <w:right w:val="single" w:sz="4" w:space="0" w:color="auto"/>
            </w:tcBorders>
            <w:vAlign w:val="bottom"/>
          </w:tcPr>
          <w:p w:rsidR="0022223F" w:rsidRPr="002F6CFD" w:rsidRDefault="0022223F" w:rsidP="00D82B95">
            <w:pPr>
              <w:jc w:val="center"/>
            </w:pPr>
            <w:r w:rsidRPr="002F6CFD">
              <w:t>%</w:t>
            </w:r>
          </w:p>
        </w:tc>
        <w:tc>
          <w:tcPr>
            <w:tcW w:w="1620" w:type="dxa"/>
            <w:tcBorders>
              <w:top w:val="single" w:sz="4" w:space="0" w:color="auto"/>
              <w:left w:val="nil"/>
              <w:bottom w:val="single" w:sz="4" w:space="0" w:color="auto"/>
              <w:right w:val="single" w:sz="4" w:space="0" w:color="auto"/>
            </w:tcBorders>
            <w:vAlign w:val="bottom"/>
          </w:tcPr>
          <w:p w:rsidR="0022223F" w:rsidRPr="002F6CFD" w:rsidRDefault="0022223F" w:rsidP="00D82B95">
            <w:pPr>
              <w:jc w:val="center"/>
            </w:pPr>
            <w:r w:rsidRPr="002F6CFD">
              <w:t>£000</w:t>
            </w:r>
          </w:p>
        </w:tc>
      </w:tr>
      <w:tr w:rsidR="0022223F" w:rsidRPr="002F6CFD">
        <w:trPr>
          <w:trHeight w:val="255"/>
        </w:trPr>
        <w:tc>
          <w:tcPr>
            <w:tcW w:w="3425" w:type="dxa"/>
            <w:tcBorders>
              <w:top w:val="single" w:sz="4" w:space="0" w:color="auto"/>
              <w:left w:val="single" w:sz="4" w:space="0" w:color="auto"/>
              <w:bottom w:val="single" w:sz="4" w:space="0" w:color="auto"/>
              <w:right w:val="single" w:sz="4" w:space="0" w:color="auto"/>
            </w:tcBorders>
            <w:noWrap/>
            <w:vAlign w:val="bottom"/>
          </w:tcPr>
          <w:p w:rsidR="0022223F" w:rsidRPr="002F6CFD" w:rsidRDefault="0022223F" w:rsidP="00D82B95">
            <w:r w:rsidRPr="002F6CFD">
              <w:t xml:space="preserve">Pre </w:t>
            </w:r>
            <w:r>
              <w:t>2013-2014</w:t>
            </w:r>
          </w:p>
        </w:tc>
        <w:tc>
          <w:tcPr>
            <w:tcW w:w="1620" w:type="dxa"/>
            <w:tcBorders>
              <w:top w:val="single" w:sz="4" w:space="0" w:color="auto"/>
              <w:left w:val="nil"/>
              <w:bottom w:val="single" w:sz="4" w:space="0" w:color="auto"/>
              <w:right w:val="single" w:sz="4" w:space="0" w:color="auto"/>
            </w:tcBorders>
            <w:shd w:val="clear" w:color="auto" w:fill="C0C0C0"/>
          </w:tcPr>
          <w:p w:rsidR="0022223F" w:rsidRPr="002F6CFD" w:rsidRDefault="0022223F" w:rsidP="00D82B95">
            <w:pPr>
              <w:jc w:val="right"/>
            </w:pPr>
            <w:r>
              <w:t>1,262</w:t>
            </w:r>
          </w:p>
        </w:tc>
        <w:tc>
          <w:tcPr>
            <w:tcW w:w="1620" w:type="dxa"/>
            <w:tcBorders>
              <w:top w:val="single" w:sz="4" w:space="0" w:color="auto"/>
              <w:left w:val="single" w:sz="4" w:space="0" w:color="auto"/>
              <w:bottom w:val="single" w:sz="4" w:space="0" w:color="auto"/>
              <w:right w:val="single" w:sz="4" w:space="0" w:color="auto"/>
            </w:tcBorders>
          </w:tcPr>
          <w:p w:rsidR="0022223F" w:rsidRPr="002F6CFD" w:rsidRDefault="0022223F" w:rsidP="00D82B95">
            <w:pPr>
              <w:jc w:val="right"/>
            </w:pPr>
            <w:r>
              <w:t>936</w:t>
            </w:r>
          </w:p>
        </w:tc>
        <w:tc>
          <w:tcPr>
            <w:tcW w:w="1260" w:type="dxa"/>
            <w:tcBorders>
              <w:top w:val="single" w:sz="4" w:space="0" w:color="auto"/>
              <w:left w:val="nil"/>
              <w:bottom w:val="single" w:sz="4" w:space="0" w:color="auto"/>
              <w:right w:val="single" w:sz="4" w:space="0" w:color="auto"/>
            </w:tcBorders>
          </w:tcPr>
          <w:p w:rsidR="0022223F" w:rsidRPr="002F6CFD" w:rsidRDefault="0022223F" w:rsidP="00D82B95">
            <w:pPr>
              <w:jc w:val="right"/>
            </w:pPr>
            <w:r w:rsidRPr="002F6CFD">
              <w:t>100</w:t>
            </w:r>
          </w:p>
        </w:tc>
        <w:tc>
          <w:tcPr>
            <w:tcW w:w="1620" w:type="dxa"/>
            <w:tcBorders>
              <w:top w:val="single" w:sz="4" w:space="0" w:color="auto"/>
              <w:left w:val="nil"/>
              <w:bottom w:val="single" w:sz="4" w:space="0" w:color="auto"/>
              <w:right w:val="single" w:sz="4" w:space="0" w:color="auto"/>
            </w:tcBorders>
          </w:tcPr>
          <w:p w:rsidR="0022223F" w:rsidRPr="002F6CFD" w:rsidRDefault="0022223F" w:rsidP="00D82B95">
            <w:pPr>
              <w:jc w:val="right"/>
            </w:pPr>
            <w:r>
              <w:t>936</w:t>
            </w:r>
          </w:p>
        </w:tc>
      </w:tr>
      <w:tr w:rsidR="0022223F" w:rsidRPr="002F6CFD">
        <w:trPr>
          <w:trHeight w:val="255"/>
        </w:trPr>
        <w:tc>
          <w:tcPr>
            <w:tcW w:w="3425" w:type="dxa"/>
            <w:tcBorders>
              <w:top w:val="single" w:sz="4" w:space="0" w:color="auto"/>
              <w:left w:val="single" w:sz="4" w:space="0" w:color="auto"/>
              <w:bottom w:val="single" w:sz="4" w:space="0" w:color="auto"/>
              <w:right w:val="single" w:sz="4" w:space="0" w:color="auto"/>
            </w:tcBorders>
            <w:noWrap/>
            <w:vAlign w:val="bottom"/>
          </w:tcPr>
          <w:p w:rsidR="0022223F" w:rsidRPr="002F6CFD" w:rsidRDefault="0022223F" w:rsidP="00D82B95">
            <w:r>
              <w:t>2013-2014</w:t>
            </w:r>
          </w:p>
        </w:tc>
        <w:tc>
          <w:tcPr>
            <w:tcW w:w="1620" w:type="dxa"/>
            <w:tcBorders>
              <w:top w:val="single" w:sz="4" w:space="0" w:color="auto"/>
              <w:left w:val="nil"/>
              <w:bottom w:val="single" w:sz="4" w:space="0" w:color="auto"/>
              <w:right w:val="nil"/>
            </w:tcBorders>
            <w:shd w:val="clear" w:color="auto" w:fill="C0C0C0"/>
          </w:tcPr>
          <w:p w:rsidR="0022223F" w:rsidRPr="002F6CFD" w:rsidRDefault="0022223F" w:rsidP="00D82B95">
            <w:pPr>
              <w:jc w:val="right"/>
            </w:pPr>
            <w:r>
              <w:t>2,101</w:t>
            </w:r>
          </w:p>
        </w:tc>
        <w:tc>
          <w:tcPr>
            <w:tcW w:w="1620" w:type="dxa"/>
            <w:tcBorders>
              <w:top w:val="single" w:sz="4" w:space="0" w:color="auto"/>
              <w:left w:val="nil"/>
              <w:bottom w:val="single" w:sz="4" w:space="0" w:color="auto"/>
              <w:right w:val="single" w:sz="4" w:space="0" w:color="auto"/>
            </w:tcBorders>
          </w:tcPr>
          <w:p w:rsidR="0022223F" w:rsidRPr="002F6CFD" w:rsidRDefault="0022223F" w:rsidP="00D82B95">
            <w:pPr>
              <w:jc w:val="right"/>
            </w:pPr>
            <w:r>
              <w:t>1,552</w:t>
            </w:r>
          </w:p>
        </w:tc>
        <w:tc>
          <w:tcPr>
            <w:tcW w:w="1260" w:type="dxa"/>
            <w:tcBorders>
              <w:top w:val="single" w:sz="4" w:space="0" w:color="auto"/>
              <w:left w:val="nil"/>
              <w:bottom w:val="single" w:sz="4" w:space="0" w:color="auto"/>
              <w:right w:val="single" w:sz="4" w:space="0" w:color="auto"/>
            </w:tcBorders>
          </w:tcPr>
          <w:p w:rsidR="0022223F" w:rsidRPr="002F6CFD" w:rsidRDefault="0022223F" w:rsidP="00D82B95">
            <w:pPr>
              <w:jc w:val="right"/>
            </w:pPr>
            <w:r>
              <w:t>100</w:t>
            </w:r>
          </w:p>
        </w:tc>
        <w:tc>
          <w:tcPr>
            <w:tcW w:w="1620" w:type="dxa"/>
            <w:tcBorders>
              <w:top w:val="single" w:sz="4" w:space="0" w:color="auto"/>
              <w:left w:val="nil"/>
              <w:bottom w:val="single" w:sz="4" w:space="0" w:color="auto"/>
              <w:right w:val="single" w:sz="4" w:space="0" w:color="auto"/>
            </w:tcBorders>
          </w:tcPr>
          <w:p w:rsidR="0022223F" w:rsidRPr="002F6CFD" w:rsidRDefault="0022223F" w:rsidP="00D82B95">
            <w:pPr>
              <w:jc w:val="right"/>
            </w:pPr>
            <w:r>
              <w:t>1,552</w:t>
            </w:r>
          </w:p>
        </w:tc>
      </w:tr>
      <w:tr w:rsidR="0022223F" w:rsidRPr="002F6CFD">
        <w:trPr>
          <w:trHeight w:val="255"/>
        </w:trPr>
        <w:tc>
          <w:tcPr>
            <w:tcW w:w="3425" w:type="dxa"/>
            <w:tcBorders>
              <w:top w:val="single" w:sz="4" w:space="0" w:color="auto"/>
              <w:left w:val="single" w:sz="4" w:space="0" w:color="auto"/>
              <w:bottom w:val="single" w:sz="4" w:space="0" w:color="auto"/>
              <w:right w:val="single" w:sz="4" w:space="0" w:color="auto"/>
            </w:tcBorders>
            <w:noWrap/>
            <w:vAlign w:val="bottom"/>
          </w:tcPr>
          <w:p w:rsidR="0022223F" w:rsidRDefault="0022223F" w:rsidP="00D82B95">
            <w:r>
              <w:t>2014-2015</w:t>
            </w:r>
          </w:p>
        </w:tc>
        <w:tc>
          <w:tcPr>
            <w:tcW w:w="1620" w:type="dxa"/>
            <w:tcBorders>
              <w:top w:val="single" w:sz="4" w:space="0" w:color="auto"/>
              <w:left w:val="nil"/>
              <w:bottom w:val="single" w:sz="4" w:space="0" w:color="auto"/>
              <w:right w:val="nil"/>
            </w:tcBorders>
            <w:shd w:val="clear" w:color="auto" w:fill="C0C0C0"/>
          </w:tcPr>
          <w:p w:rsidR="0022223F" w:rsidRDefault="0022223F" w:rsidP="00D82B95">
            <w:pPr>
              <w:jc w:val="right"/>
            </w:pPr>
            <w:r>
              <w:t>n/a</w:t>
            </w:r>
          </w:p>
        </w:tc>
        <w:tc>
          <w:tcPr>
            <w:tcW w:w="1620" w:type="dxa"/>
            <w:tcBorders>
              <w:top w:val="single" w:sz="4" w:space="0" w:color="auto"/>
              <w:left w:val="nil"/>
              <w:bottom w:val="single" w:sz="4" w:space="0" w:color="auto"/>
              <w:right w:val="single" w:sz="4" w:space="0" w:color="auto"/>
            </w:tcBorders>
          </w:tcPr>
          <w:p w:rsidR="0022223F" w:rsidRDefault="0022223F" w:rsidP="00D82B95">
            <w:pPr>
              <w:jc w:val="right"/>
            </w:pPr>
            <w:r>
              <w:t>n/a</w:t>
            </w:r>
          </w:p>
        </w:tc>
        <w:tc>
          <w:tcPr>
            <w:tcW w:w="1260" w:type="dxa"/>
            <w:tcBorders>
              <w:top w:val="single" w:sz="4" w:space="0" w:color="auto"/>
              <w:left w:val="nil"/>
              <w:bottom w:val="single" w:sz="4" w:space="0" w:color="auto"/>
              <w:right w:val="single" w:sz="4" w:space="0" w:color="auto"/>
            </w:tcBorders>
          </w:tcPr>
          <w:p w:rsidR="0022223F" w:rsidRDefault="0022223F" w:rsidP="00D82B95">
            <w:pPr>
              <w:jc w:val="right"/>
            </w:pPr>
            <w:r>
              <w:t>50</w:t>
            </w:r>
          </w:p>
        </w:tc>
        <w:tc>
          <w:tcPr>
            <w:tcW w:w="1620" w:type="dxa"/>
            <w:tcBorders>
              <w:top w:val="single" w:sz="4" w:space="0" w:color="auto"/>
              <w:left w:val="nil"/>
              <w:bottom w:val="single" w:sz="4" w:space="0" w:color="auto"/>
              <w:right w:val="single" w:sz="4" w:space="0" w:color="auto"/>
            </w:tcBorders>
          </w:tcPr>
          <w:p w:rsidR="0022223F" w:rsidRDefault="0022223F" w:rsidP="00D82B95">
            <w:pPr>
              <w:jc w:val="right"/>
            </w:pPr>
          </w:p>
        </w:tc>
      </w:tr>
      <w:tr w:rsidR="0022223F">
        <w:trPr>
          <w:trHeight w:val="255"/>
        </w:trPr>
        <w:tc>
          <w:tcPr>
            <w:tcW w:w="3425" w:type="dxa"/>
            <w:tcBorders>
              <w:top w:val="single" w:sz="4" w:space="0" w:color="auto"/>
              <w:left w:val="single" w:sz="4" w:space="0" w:color="auto"/>
              <w:bottom w:val="single" w:sz="4" w:space="0" w:color="auto"/>
              <w:right w:val="single" w:sz="4" w:space="0" w:color="auto"/>
            </w:tcBorders>
            <w:noWrap/>
          </w:tcPr>
          <w:p w:rsidR="0022223F" w:rsidRPr="002F6CFD" w:rsidRDefault="0022223F" w:rsidP="00D82B95">
            <w:pPr>
              <w:rPr>
                <w:b/>
                <w:bCs/>
              </w:rPr>
            </w:pPr>
            <w:r w:rsidRPr="002F6CFD">
              <w:rPr>
                <w:b/>
                <w:bCs/>
              </w:rPr>
              <w:t>Total</w:t>
            </w:r>
          </w:p>
        </w:tc>
        <w:tc>
          <w:tcPr>
            <w:tcW w:w="1620" w:type="dxa"/>
            <w:tcBorders>
              <w:top w:val="single" w:sz="4" w:space="0" w:color="auto"/>
              <w:left w:val="nil"/>
              <w:bottom w:val="single" w:sz="4" w:space="0" w:color="auto"/>
              <w:right w:val="nil"/>
            </w:tcBorders>
            <w:shd w:val="clear" w:color="auto" w:fill="C0C0C0"/>
          </w:tcPr>
          <w:p w:rsidR="0022223F" w:rsidRPr="002F6CFD" w:rsidRDefault="0022223F" w:rsidP="00D82B95">
            <w:pPr>
              <w:jc w:val="right"/>
              <w:rPr>
                <w:b/>
                <w:bCs/>
              </w:rPr>
            </w:pPr>
            <w:r>
              <w:rPr>
                <w:b/>
                <w:bCs/>
              </w:rPr>
              <w:t>3,363</w:t>
            </w:r>
          </w:p>
        </w:tc>
        <w:tc>
          <w:tcPr>
            <w:tcW w:w="1620" w:type="dxa"/>
            <w:tcBorders>
              <w:top w:val="single" w:sz="4" w:space="0" w:color="auto"/>
              <w:left w:val="nil"/>
              <w:bottom w:val="single" w:sz="4" w:space="0" w:color="auto"/>
              <w:right w:val="single" w:sz="4" w:space="0" w:color="auto"/>
            </w:tcBorders>
          </w:tcPr>
          <w:p w:rsidR="0022223F" w:rsidRPr="002F6CFD" w:rsidRDefault="0022223F" w:rsidP="00D82B95">
            <w:pPr>
              <w:jc w:val="right"/>
              <w:rPr>
                <w:b/>
                <w:bCs/>
              </w:rPr>
            </w:pPr>
            <w:r>
              <w:rPr>
                <w:b/>
                <w:bCs/>
              </w:rPr>
              <w:t>2</w:t>
            </w:r>
            <w:r w:rsidRPr="002F6CFD">
              <w:rPr>
                <w:b/>
                <w:bCs/>
              </w:rPr>
              <w:t>,</w:t>
            </w:r>
            <w:r>
              <w:rPr>
                <w:b/>
                <w:bCs/>
              </w:rPr>
              <w:t>488</w:t>
            </w:r>
          </w:p>
        </w:tc>
        <w:tc>
          <w:tcPr>
            <w:tcW w:w="1260" w:type="dxa"/>
            <w:tcBorders>
              <w:top w:val="single" w:sz="4" w:space="0" w:color="auto"/>
              <w:left w:val="nil"/>
              <w:bottom w:val="single" w:sz="4" w:space="0" w:color="auto"/>
              <w:right w:val="single" w:sz="4" w:space="0" w:color="auto"/>
            </w:tcBorders>
          </w:tcPr>
          <w:p w:rsidR="0022223F" w:rsidRPr="002F6CFD" w:rsidRDefault="0022223F" w:rsidP="00D82B95">
            <w:pPr>
              <w:jc w:val="right"/>
              <w:rPr>
                <w:b/>
                <w:bCs/>
              </w:rPr>
            </w:pPr>
          </w:p>
        </w:tc>
        <w:tc>
          <w:tcPr>
            <w:tcW w:w="1620" w:type="dxa"/>
            <w:tcBorders>
              <w:top w:val="single" w:sz="4" w:space="0" w:color="auto"/>
              <w:left w:val="nil"/>
              <w:bottom w:val="single" w:sz="4" w:space="0" w:color="auto"/>
              <w:right w:val="single" w:sz="4" w:space="0" w:color="auto"/>
            </w:tcBorders>
          </w:tcPr>
          <w:p w:rsidR="0022223F" w:rsidRDefault="0022223F" w:rsidP="00D82B95">
            <w:pPr>
              <w:jc w:val="right"/>
              <w:rPr>
                <w:b/>
                <w:bCs/>
              </w:rPr>
            </w:pPr>
            <w:r>
              <w:rPr>
                <w:b/>
                <w:bCs/>
              </w:rPr>
              <w:t>2</w:t>
            </w:r>
            <w:r w:rsidRPr="002F6CFD">
              <w:rPr>
                <w:b/>
                <w:bCs/>
              </w:rPr>
              <w:t>,</w:t>
            </w:r>
            <w:r>
              <w:rPr>
                <w:b/>
                <w:bCs/>
              </w:rPr>
              <w:t>488</w:t>
            </w:r>
          </w:p>
        </w:tc>
      </w:tr>
    </w:tbl>
    <w:p w:rsidR="0022223F" w:rsidRDefault="0022223F" w:rsidP="009D3000">
      <w:pPr>
        <w:rPr>
          <w:b/>
          <w:bCs/>
        </w:rPr>
      </w:pPr>
    </w:p>
    <w:p w:rsidR="0022223F" w:rsidRDefault="0022223F" w:rsidP="009D3000">
      <w:pPr>
        <w:rPr>
          <w:b/>
          <w:bCs/>
        </w:rPr>
      </w:pPr>
      <w:r w:rsidRPr="000D499C">
        <w:rPr>
          <w:b/>
          <w:bCs/>
        </w:rPr>
        <w:t>Council Tax and Business Rate</w:t>
      </w:r>
      <w:r>
        <w:rPr>
          <w:b/>
          <w:bCs/>
        </w:rPr>
        <w:t>s</w:t>
      </w:r>
      <w:r w:rsidRPr="000D499C">
        <w:rPr>
          <w:b/>
          <w:bCs/>
        </w:rPr>
        <w:t xml:space="preserve"> Court Cost</w:t>
      </w:r>
    </w:p>
    <w:p w:rsidR="0022223F" w:rsidRDefault="0022223F" w:rsidP="009D3000">
      <w:pPr>
        <w:ind w:right="-720"/>
        <w:rPr>
          <w:lang w:val="en-US"/>
        </w:rPr>
      </w:pPr>
      <w:r w:rsidRPr="00827C4A">
        <w:rPr>
          <w:lang w:val="en-US"/>
        </w:rPr>
        <w:t xml:space="preserve">Currently, bad debt provisions (BDP) of </w:t>
      </w:r>
      <w:r w:rsidRPr="00232CAA">
        <w:rPr>
          <w:lang w:val="en-US"/>
        </w:rPr>
        <w:t>£950k</w:t>
      </w:r>
      <w:r>
        <w:rPr>
          <w:lang w:val="en-US"/>
        </w:rPr>
        <w:t xml:space="preserve"> (</w:t>
      </w:r>
      <w:r w:rsidRPr="00750E63">
        <w:rPr>
          <w:b/>
          <w:bCs/>
          <w:lang w:val="en-US"/>
        </w:rPr>
        <w:t>CT £850k+ NDR £100k</w:t>
      </w:r>
      <w:r>
        <w:rPr>
          <w:lang w:val="en-US"/>
        </w:rPr>
        <w:t>) e</w:t>
      </w:r>
      <w:r w:rsidRPr="00827C4A">
        <w:rPr>
          <w:lang w:val="en-US"/>
        </w:rPr>
        <w:t>xist</w:t>
      </w:r>
      <w:r>
        <w:rPr>
          <w:lang w:val="en-US"/>
        </w:rPr>
        <w:t xml:space="preserve">s </w:t>
      </w:r>
      <w:r w:rsidRPr="00827C4A">
        <w:rPr>
          <w:lang w:val="en-US"/>
        </w:rPr>
        <w:t>for C</w:t>
      </w:r>
      <w:r>
        <w:rPr>
          <w:lang w:val="en-US"/>
        </w:rPr>
        <w:t>ourt Costs</w:t>
      </w:r>
      <w:r w:rsidRPr="00827C4A">
        <w:rPr>
          <w:lang w:val="en-US"/>
        </w:rPr>
        <w:t xml:space="preserve"> against a potential BDP of</w:t>
      </w:r>
      <w:r w:rsidRPr="00232CAA">
        <w:rPr>
          <w:lang w:val="en-US"/>
        </w:rPr>
        <w:t>£10</w:t>
      </w:r>
      <w:r>
        <w:rPr>
          <w:lang w:val="en-US"/>
        </w:rPr>
        <w:t>18</w:t>
      </w:r>
      <w:r w:rsidRPr="00232CAA">
        <w:rPr>
          <w:lang w:val="en-US"/>
        </w:rPr>
        <w:t>k</w:t>
      </w:r>
      <w:r w:rsidRPr="005B2ED7">
        <w:rPr>
          <w:color w:val="FF0000"/>
          <w:lang w:val="en-US"/>
        </w:rPr>
        <w:t>.</w:t>
      </w:r>
      <w:r>
        <w:rPr>
          <w:lang w:val="en-US"/>
        </w:rPr>
        <w:t xml:space="preserve"> From previous years trends, this amount of provision appears to be adequate and in line with our overall provisions policy.</w:t>
      </w:r>
    </w:p>
    <w:p w:rsidR="0022223F" w:rsidRDefault="0022223F" w:rsidP="009D3000">
      <w:pPr>
        <w:ind w:right="-720"/>
        <w:rPr>
          <w:lang w:val="en-US"/>
        </w:rPr>
      </w:pPr>
    </w:p>
    <w:tbl>
      <w:tblPr>
        <w:tblW w:w="9545" w:type="dxa"/>
        <w:tblInd w:w="-106" w:type="dxa"/>
        <w:tblLayout w:type="fixed"/>
        <w:tblLook w:val="0000"/>
      </w:tblPr>
      <w:tblGrid>
        <w:gridCol w:w="3425"/>
        <w:gridCol w:w="1440"/>
        <w:gridCol w:w="1620"/>
        <w:gridCol w:w="1260"/>
        <w:gridCol w:w="1800"/>
      </w:tblGrid>
      <w:tr w:rsidR="0022223F" w:rsidRPr="007D2A81">
        <w:trPr>
          <w:trHeight w:val="421"/>
        </w:trPr>
        <w:tc>
          <w:tcPr>
            <w:tcW w:w="3425" w:type="dxa"/>
            <w:tcBorders>
              <w:top w:val="single" w:sz="4" w:space="0" w:color="auto"/>
              <w:left w:val="single" w:sz="4" w:space="0" w:color="auto"/>
              <w:bottom w:val="single" w:sz="4" w:space="0" w:color="auto"/>
              <w:right w:val="single" w:sz="4" w:space="0" w:color="auto"/>
            </w:tcBorders>
            <w:noWrap/>
          </w:tcPr>
          <w:p w:rsidR="0022223F" w:rsidRPr="007D2A81" w:rsidRDefault="0022223F" w:rsidP="00D82B95">
            <w:pPr>
              <w:rPr>
                <w:b/>
                <w:bCs/>
                <w:sz w:val="20"/>
                <w:szCs w:val="20"/>
              </w:rPr>
            </w:pPr>
            <w:r w:rsidRPr="007D2A81">
              <w:rPr>
                <w:b/>
                <w:bCs/>
                <w:sz w:val="20"/>
                <w:szCs w:val="20"/>
              </w:rPr>
              <w:t>Court Cost</w:t>
            </w:r>
          </w:p>
        </w:tc>
        <w:tc>
          <w:tcPr>
            <w:tcW w:w="1440" w:type="dxa"/>
            <w:tcBorders>
              <w:top w:val="single" w:sz="4" w:space="0" w:color="auto"/>
              <w:left w:val="nil"/>
              <w:bottom w:val="single" w:sz="4" w:space="0" w:color="auto"/>
              <w:right w:val="nil"/>
            </w:tcBorders>
          </w:tcPr>
          <w:p w:rsidR="0022223F" w:rsidRPr="007D2A81" w:rsidRDefault="0022223F" w:rsidP="00D82B95">
            <w:pPr>
              <w:ind w:right="-108"/>
              <w:jc w:val="center"/>
              <w:rPr>
                <w:sz w:val="20"/>
                <w:szCs w:val="20"/>
              </w:rPr>
            </w:pPr>
            <w:r w:rsidRPr="007D2A81">
              <w:rPr>
                <w:sz w:val="20"/>
                <w:szCs w:val="20"/>
              </w:rPr>
              <w:t>Arrears as at 1</w:t>
            </w:r>
            <w:r w:rsidRPr="007D2A81">
              <w:rPr>
                <w:sz w:val="20"/>
                <w:szCs w:val="20"/>
                <w:vertAlign w:val="superscript"/>
              </w:rPr>
              <w:t>st</w:t>
            </w:r>
            <w:r w:rsidRPr="007D2A81">
              <w:rPr>
                <w:sz w:val="20"/>
                <w:szCs w:val="20"/>
              </w:rPr>
              <w:t xml:space="preserve"> of April</w:t>
            </w:r>
          </w:p>
        </w:tc>
        <w:tc>
          <w:tcPr>
            <w:tcW w:w="1620" w:type="dxa"/>
            <w:tcBorders>
              <w:top w:val="single" w:sz="4" w:space="0" w:color="auto"/>
              <w:left w:val="nil"/>
              <w:bottom w:val="single" w:sz="4" w:space="0" w:color="auto"/>
              <w:right w:val="single" w:sz="4" w:space="0" w:color="auto"/>
            </w:tcBorders>
          </w:tcPr>
          <w:p w:rsidR="0022223F" w:rsidRPr="007D2A81" w:rsidRDefault="0022223F" w:rsidP="00D82B95">
            <w:pPr>
              <w:jc w:val="center"/>
              <w:rPr>
                <w:sz w:val="20"/>
                <w:szCs w:val="20"/>
              </w:rPr>
            </w:pPr>
            <w:r w:rsidRPr="007D2A81">
              <w:rPr>
                <w:sz w:val="20"/>
                <w:szCs w:val="20"/>
              </w:rPr>
              <w:t>Arrears as at Qtr</w:t>
            </w:r>
            <w:r>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22223F" w:rsidRPr="007D2A81" w:rsidRDefault="0022223F" w:rsidP="00D82B95">
            <w:pPr>
              <w:jc w:val="center"/>
              <w:rPr>
                <w:sz w:val="20"/>
                <w:szCs w:val="20"/>
              </w:rPr>
            </w:pPr>
            <w:r w:rsidRPr="007D2A81">
              <w:rPr>
                <w:sz w:val="20"/>
                <w:szCs w:val="20"/>
              </w:rPr>
              <w:t xml:space="preserve">BDP </w:t>
            </w:r>
          </w:p>
        </w:tc>
        <w:tc>
          <w:tcPr>
            <w:tcW w:w="1800" w:type="dxa"/>
            <w:tcBorders>
              <w:top w:val="single" w:sz="4" w:space="0" w:color="auto"/>
              <w:left w:val="single" w:sz="4" w:space="0" w:color="auto"/>
              <w:bottom w:val="single" w:sz="4" w:space="0" w:color="auto"/>
              <w:right w:val="single" w:sz="4" w:space="0" w:color="auto"/>
            </w:tcBorders>
          </w:tcPr>
          <w:p w:rsidR="0022223F" w:rsidRPr="007D2A81" w:rsidRDefault="0022223F" w:rsidP="00D82B95">
            <w:pPr>
              <w:jc w:val="center"/>
              <w:rPr>
                <w:sz w:val="20"/>
                <w:szCs w:val="20"/>
              </w:rPr>
            </w:pPr>
            <w:r w:rsidRPr="007D2A81">
              <w:rPr>
                <w:b/>
                <w:bCs/>
                <w:sz w:val="20"/>
                <w:szCs w:val="20"/>
              </w:rPr>
              <w:t>BD</w:t>
            </w:r>
            <w:r>
              <w:rPr>
                <w:b/>
                <w:bCs/>
                <w:sz w:val="20"/>
                <w:szCs w:val="20"/>
              </w:rPr>
              <w:t>P</w:t>
            </w:r>
            <w:r w:rsidRPr="007D2A81">
              <w:rPr>
                <w:b/>
                <w:bCs/>
                <w:sz w:val="20"/>
                <w:szCs w:val="20"/>
              </w:rPr>
              <w:t xml:space="preserve"> as at Qtr</w:t>
            </w:r>
            <w:r>
              <w:rPr>
                <w:b/>
                <w:bCs/>
                <w:sz w:val="20"/>
                <w:szCs w:val="20"/>
              </w:rPr>
              <w:t>2</w:t>
            </w:r>
          </w:p>
        </w:tc>
      </w:tr>
      <w:tr w:rsidR="0022223F">
        <w:trPr>
          <w:trHeight w:val="170"/>
        </w:trPr>
        <w:tc>
          <w:tcPr>
            <w:tcW w:w="3425" w:type="dxa"/>
            <w:tcBorders>
              <w:top w:val="nil"/>
              <w:left w:val="single" w:sz="4" w:space="0" w:color="auto"/>
              <w:bottom w:val="single" w:sz="4" w:space="0" w:color="auto"/>
              <w:right w:val="single" w:sz="4" w:space="0" w:color="auto"/>
            </w:tcBorders>
            <w:noWrap/>
            <w:vAlign w:val="bottom"/>
          </w:tcPr>
          <w:p w:rsidR="0022223F" w:rsidRDefault="0022223F" w:rsidP="00D82B95"/>
        </w:tc>
        <w:tc>
          <w:tcPr>
            <w:tcW w:w="1440" w:type="dxa"/>
            <w:tcBorders>
              <w:top w:val="nil"/>
              <w:left w:val="nil"/>
              <w:bottom w:val="single" w:sz="4" w:space="0" w:color="auto"/>
              <w:right w:val="nil"/>
            </w:tcBorders>
            <w:vAlign w:val="bottom"/>
          </w:tcPr>
          <w:p w:rsidR="0022223F" w:rsidRDefault="0022223F" w:rsidP="00D82B95">
            <w:pPr>
              <w:jc w:val="center"/>
            </w:pPr>
            <w:r>
              <w:t>£000</w:t>
            </w:r>
          </w:p>
        </w:tc>
        <w:tc>
          <w:tcPr>
            <w:tcW w:w="1620" w:type="dxa"/>
            <w:tcBorders>
              <w:top w:val="single" w:sz="4" w:space="0" w:color="auto"/>
              <w:left w:val="nil"/>
              <w:bottom w:val="single" w:sz="4" w:space="0" w:color="auto"/>
              <w:right w:val="single" w:sz="4" w:space="0" w:color="auto"/>
            </w:tcBorders>
            <w:vAlign w:val="bottom"/>
          </w:tcPr>
          <w:p w:rsidR="0022223F" w:rsidRDefault="0022223F" w:rsidP="00D82B95">
            <w:pPr>
              <w:jc w:val="center"/>
            </w:pPr>
            <w:r>
              <w:t>£000</w:t>
            </w:r>
          </w:p>
        </w:tc>
        <w:tc>
          <w:tcPr>
            <w:tcW w:w="1260" w:type="dxa"/>
            <w:tcBorders>
              <w:top w:val="nil"/>
              <w:left w:val="single" w:sz="4" w:space="0" w:color="auto"/>
              <w:bottom w:val="single" w:sz="4" w:space="0" w:color="auto"/>
              <w:right w:val="single" w:sz="4" w:space="0" w:color="auto"/>
            </w:tcBorders>
            <w:vAlign w:val="bottom"/>
          </w:tcPr>
          <w:p w:rsidR="0022223F" w:rsidRDefault="0022223F" w:rsidP="00D82B95">
            <w:pPr>
              <w:jc w:val="center"/>
            </w:pPr>
            <w:r>
              <w:t>%</w:t>
            </w:r>
          </w:p>
        </w:tc>
        <w:tc>
          <w:tcPr>
            <w:tcW w:w="1800" w:type="dxa"/>
            <w:tcBorders>
              <w:top w:val="single" w:sz="4" w:space="0" w:color="auto"/>
              <w:left w:val="nil"/>
              <w:bottom w:val="single" w:sz="4" w:space="0" w:color="auto"/>
              <w:right w:val="single" w:sz="4" w:space="0" w:color="auto"/>
            </w:tcBorders>
            <w:vAlign w:val="bottom"/>
          </w:tcPr>
          <w:p w:rsidR="0022223F" w:rsidRDefault="0022223F" w:rsidP="00D82B95">
            <w:pPr>
              <w:jc w:val="center"/>
            </w:pPr>
            <w:r>
              <w:t>£000</w:t>
            </w:r>
          </w:p>
        </w:tc>
      </w:tr>
      <w:tr w:rsidR="0022223F">
        <w:trPr>
          <w:trHeight w:val="170"/>
        </w:trPr>
        <w:tc>
          <w:tcPr>
            <w:tcW w:w="3425" w:type="dxa"/>
            <w:tcBorders>
              <w:top w:val="nil"/>
              <w:left w:val="single" w:sz="4" w:space="0" w:color="auto"/>
              <w:bottom w:val="single" w:sz="4" w:space="0" w:color="auto"/>
              <w:right w:val="single" w:sz="4" w:space="0" w:color="auto"/>
            </w:tcBorders>
            <w:noWrap/>
            <w:vAlign w:val="bottom"/>
          </w:tcPr>
          <w:p w:rsidR="0022223F" w:rsidRDefault="0022223F" w:rsidP="00D82B95">
            <w:r>
              <w:t xml:space="preserve">Pre 2011-2012 </w:t>
            </w:r>
          </w:p>
        </w:tc>
        <w:tc>
          <w:tcPr>
            <w:tcW w:w="1440" w:type="dxa"/>
            <w:tcBorders>
              <w:top w:val="nil"/>
              <w:left w:val="nil"/>
              <w:bottom w:val="single" w:sz="4" w:space="0" w:color="auto"/>
              <w:right w:val="nil"/>
            </w:tcBorders>
            <w:shd w:val="clear" w:color="auto" w:fill="C0C0C0"/>
          </w:tcPr>
          <w:p w:rsidR="0022223F" w:rsidRDefault="0022223F" w:rsidP="00D82B95">
            <w:pPr>
              <w:jc w:val="right"/>
            </w:pPr>
            <w:r>
              <w:t>235</w:t>
            </w:r>
          </w:p>
        </w:tc>
        <w:tc>
          <w:tcPr>
            <w:tcW w:w="1620" w:type="dxa"/>
            <w:tcBorders>
              <w:top w:val="single" w:sz="4" w:space="0" w:color="auto"/>
              <w:left w:val="nil"/>
              <w:bottom w:val="single" w:sz="4" w:space="0" w:color="auto"/>
              <w:right w:val="single" w:sz="4" w:space="0" w:color="auto"/>
            </w:tcBorders>
          </w:tcPr>
          <w:p w:rsidR="0022223F" w:rsidRDefault="0022223F" w:rsidP="00D82B95">
            <w:pPr>
              <w:jc w:val="right"/>
            </w:pPr>
            <w:r>
              <w:t>207</w:t>
            </w:r>
          </w:p>
        </w:tc>
        <w:tc>
          <w:tcPr>
            <w:tcW w:w="1260" w:type="dxa"/>
            <w:tcBorders>
              <w:top w:val="nil"/>
              <w:left w:val="single" w:sz="4" w:space="0" w:color="auto"/>
              <w:bottom w:val="single" w:sz="4" w:space="0" w:color="auto"/>
              <w:right w:val="single" w:sz="4" w:space="0" w:color="auto"/>
            </w:tcBorders>
          </w:tcPr>
          <w:p w:rsidR="0022223F" w:rsidRDefault="0022223F" w:rsidP="00D82B95">
            <w:pPr>
              <w:jc w:val="right"/>
            </w:pPr>
            <w:r>
              <w:t>100</w:t>
            </w:r>
          </w:p>
        </w:tc>
        <w:tc>
          <w:tcPr>
            <w:tcW w:w="1800" w:type="dxa"/>
            <w:tcBorders>
              <w:top w:val="single" w:sz="4" w:space="0" w:color="auto"/>
              <w:left w:val="nil"/>
              <w:bottom w:val="single" w:sz="4" w:space="0" w:color="auto"/>
              <w:right w:val="single" w:sz="4" w:space="0" w:color="auto"/>
            </w:tcBorders>
          </w:tcPr>
          <w:p w:rsidR="0022223F" w:rsidRDefault="0022223F" w:rsidP="00D82B95">
            <w:pPr>
              <w:jc w:val="right"/>
            </w:pPr>
            <w:r>
              <w:t>207</w:t>
            </w:r>
          </w:p>
        </w:tc>
      </w:tr>
      <w:tr w:rsidR="0022223F">
        <w:trPr>
          <w:trHeight w:val="255"/>
        </w:trPr>
        <w:tc>
          <w:tcPr>
            <w:tcW w:w="3425" w:type="dxa"/>
            <w:tcBorders>
              <w:top w:val="nil"/>
              <w:left w:val="single" w:sz="4" w:space="0" w:color="auto"/>
              <w:bottom w:val="single" w:sz="4" w:space="0" w:color="auto"/>
              <w:right w:val="single" w:sz="4" w:space="0" w:color="auto"/>
            </w:tcBorders>
            <w:noWrap/>
            <w:vAlign w:val="bottom"/>
          </w:tcPr>
          <w:p w:rsidR="0022223F" w:rsidRDefault="0022223F" w:rsidP="00D82B95">
            <w:r>
              <w:t>2011-2012</w:t>
            </w:r>
          </w:p>
        </w:tc>
        <w:tc>
          <w:tcPr>
            <w:tcW w:w="1440" w:type="dxa"/>
            <w:tcBorders>
              <w:top w:val="nil"/>
              <w:left w:val="nil"/>
              <w:bottom w:val="single" w:sz="4" w:space="0" w:color="auto"/>
              <w:right w:val="nil"/>
            </w:tcBorders>
            <w:shd w:val="clear" w:color="auto" w:fill="C0C0C0"/>
          </w:tcPr>
          <w:p w:rsidR="0022223F" w:rsidRDefault="0022223F" w:rsidP="00D82B95">
            <w:pPr>
              <w:jc w:val="right"/>
            </w:pPr>
            <w:r>
              <w:t>129</w:t>
            </w:r>
          </w:p>
        </w:tc>
        <w:tc>
          <w:tcPr>
            <w:tcW w:w="1620" w:type="dxa"/>
            <w:tcBorders>
              <w:top w:val="single" w:sz="4" w:space="0" w:color="auto"/>
              <w:left w:val="nil"/>
              <w:bottom w:val="single" w:sz="4" w:space="0" w:color="auto"/>
              <w:right w:val="single" w:sz="4" w:space="0" w:color="auto"/>
            </w:tcBorders>
          </w:tcPr>
          <w:p w:rsidR="0022223F" w:rsidRDefault="0022223F" w:rsidP="00D82B95">
            <w:pPr>
              <w:jc w:val="right"/>
            </w:pPr>
            <w:r>
              <w:t>116</w:t>
            </w:r>
          </w:p>
        </w:tc>
        <w:tc>
          <w:tcPr>
            <w:tcW w:w="1260" w:type="dxa"/>
            <w:tcBorders>
              <w:top w:val="nil"/>
              <w:left w:val="single" w:sz="4" w:space="0" w:color="auto"/>
              <w:bottom w:val="single" w:sz="4" w:space="0" w:color="auto"/>
              <w:right w:val="single" w:sz="4" w:space="0" w:color="auto"/>
            </w:tcBorders>
          </w:tcPr>
          <w:p w:rsidR="0022223F" w:rsidRDefault="0022223F" w:rsidP="00D82B95">
            <w:pPr>
              <w:jc w:val="right"/>
            </w:pPr>
            <w:r>
              <w:t>100</w:t>
            </w:r>
          </w:p>
        </w:tc>
        <w:tc>
          <w:tcPr>
            <w:tcW w:w="1800" w:type="dxa"/>
            <w:tcBorders>
              <w:top w:val="single" w:sz="4" w:space="0" w:color="auto"/>
              <w:left w:val="nil"/>
              <w:bottom w:val="single" w:sz="4" w:space="0" w:color="auto"/>
              <w:right w:val="single" w:sz="4" w:space="0" w:color="auto"/>
            </w:tcBorders>
          </w:tcPr>
          <w:p w:rsidR="0022223F" w:rsidRDefault="0022223F" w:rsidP="00D82B95">
            <w:pPr>
              <w:jc w:val="right"/>
            </w:pPr>
            <w:r>
              <w:t>116</w:t>
            </w:r>
          </w:p>
        </w:tc>
      </w:tr>
      <w:tr w:rsidR="0022223F">
        <w:trPr>
          <w:trHeight w:val="255"/>
        </w:trPr>
        <w:tc>
          <w:tcPr>
            <w:tcW w:w="3425" w:type="dxa"/>
            <w:tcBorders>
              <w:top w:val="nil"/>
              <w:left w:val="single" w:sz="4" w:space="0" w:color="auto"/>
              <w:bottom w:val="single" w:sz="4" w:space="0" w:color="auto"/>
              <w:right w:val="single" w:sz="4" w:space="0" w:color="auto"/>
            </w:tcBorders>
            <w:noWrap/>
            <w:vAlign w:val="bottom"/>
          </w:tcPr>
          <w:p w:rsidR="0022223F" w:rsidRDefault="0022223F" w:rsidP="00D82B95">
            <w:r>
              <w:t>2012-2013</w:t>
            </w:r>
          </w:p>
        </w:tc>
        <w:tc>
          <w:tcPr>
            <w:tcW w:w="1440" w:type="dxa"/>
            <w:tcBorders>
              <w:top w:val="nil"/>
              <w:left w:val="nil"/>
              <w:bottom w:val="single" w:sz="4" w:space="0" w:color="auto"/>
              <w:right w:val="nil"/>
            </w:tcBorders>
            <w:shd w:val="clear" w:color="auto" w:fill="C0C0C0"/>
          </w:tcPr>
          <w:p w:rsidR="0022223F" w:rsidRDefault="0022223F" w:rsidP="00D82B95">
            <w:pPr>
              <w:jc w:val="right"/>
            </w:pPr>
            <w:r>
              <w:t>190</w:t>
            </w:r>
          </w:p>
        </w:tc>
        <w:tc>
          <w:tcPr>
            <w:tcW w:w="1620" w:type="dxa"/>
            <w:tcBorders>
              <w:top w:val="single" w:sz="4" w:space="0" w:color="auto"/>
              <w:left w:val="nil"/>
              <w:bottom w:val="single" w:sz="4" w:space="0" w:color="auto"/>
              <w:right w:val="single" w:sz="4" w:space="0" w:color="auto"/>
            </w:tcBorders>
          </w:tcPr>
          <w:p w:rsidR="0022223F" w:rsidRDefault="0022223F" w:rsidP="00D82B95">
            <w:pPr>
              <w:jc w:val="right"/>
            </w:pPr>
            <w:r>
              <w:t>158</w:t>
            </w:r>
          </w:p>
        </w:tc>
        <w:tc>
          <w:tcPr>
            <w:tcW w:w="1260" w:type="dxa"/>
            <w:tcBorders>
              <w:top w:val="nil"/>
              <w:left w:val="single" w:sz="4" w:space="0" w:color="auto"/>
              <w:bottom w:val="single" w:sz="4" w:space="0" w:color="auto"/>
              <w:right w:val="single" w:sz="4" w:space="0" w:color="auto"/>
            </w:tcBorders>
          </w:tcPr>
          <w:p w:rsidR="0022223F" w:rsidRDefault="0022223F" w:rsidP="00D82B95">
            <w:pPr>
              <w:jc w:val="right"/>
            </w:pPr>
            <w:r>
              <w:t>75</w:t>
            </w:r>
          </w:p>
        </w:tc>
        <w:tc>
          <w:tcPr>
            <w:tcW w:w="1800" w:type="dxa"/>
            <w:tcBorders>
              <w:top w:val="single" w:sz="4" w:space="0" w:color="auto"/>
              <w:left w:val="nil"/>
              <w:bottom w:val="single" w:sz="4" w:space="0" w:color="auto"/>
              <w:right w:val="single" w:sz="4" w:space="0" w:color="auto"/>
            </w:tcBorders>
          </w:tcPr>
          <w:p w:rsidR="0022223F" w:rsidRDefault="0022223F" w:rsidP="00D82B95">
            <w:pPr>
              <w:jc w:val="right"/>
            </w:pPr>
            <w:r>
              <w:t>118</w:t>
            </w:r>
          </w:p>
        </w:tc>
      </w:tr>
      <w:tr w:rsidR="0022223F">
        <w:trPr>
          <w:trHeight w:val="255"/>
        </w:trPr>
        <w:tc>
          <w:tcPr>
            <w:tcW w:w="3425" w:type="dxa"/>
            <w:tcBorders>
              <w:top w:val="nil"/>
              <w:left w:val="single" w:sz="4" w:space="0" w:color="auto"/>
              <w:bottom w:val="single" w:sz="4" w:space="0" w:color="auto"/>
              <w:right w:val="single" w:sz="4" w:space="0" w:color="auto"/>
            </w:tcBorders>
            <w:noWrap/>
            <w:vAlign w:val="bottom"/>
          </w:tcPr>
          <w:p w:rsidR="0022223F" w:rsidRDefault="0022223F" w:rsidP="00D82B95">
            <w:r>
              <w:t>2013-2014</w:t>
            </w:r>
          </w:p>
        </w:tc>
        <w:tc>
          <w:tcPr>
            <w:tcW w:w="1440" w:type="dxa"/>
            <w:tcBorders>
              <w:top w:val="nil"/>
              <w:left w:val="nil"/>
              <w:bottom w:val="single" w:sz="4" w:space="0" w:color="auto"/>
              <w:right w:val="nil"/>
            </w:tcBorders>
            <w:shd w:val="clear" w:color="auto" w:fill="C0C0C0"/>
          </w:tcPr>
          <w:p w:rsidR="0022223F" w:rsidRDefault="0022223F" w:rsidP="00D82B95">
            <w:pPr>
              <w:jc w:val="right"/>
            </w:pPr>
            <w:r>
              <w:t>616</w:t>
            </w:r>
          </w:p>
        </w:tc>
        <w:tc>
          <w:tcPr>
            <w:tcW w:w="1620" w:type="dxa"/>
            <w:tcBorders>
              <w:top w:val="single" w:sz="4" w:space="0" w:color="auto"/>
              <w:left w:val="nil"/>
              <w:bottom w:val="single" w:sz="4" w:space="0" w:color="auto"/>
              <w:right w:val="single" w:sz="4" w:space="0" w:color="auto"/>
            </w:tcBorders>
          </w:tcPr>
          <w:p w:rsidR="0022223F" w:rsidRDefault="0022223F" w:rsidP="00D82B95">
            <w:pPr>
              <w:jc w:val="right"/>
            </w:pPr>
            <w:r>
              <w:t>478</w:t>
            </w:r>
          </w:p>
        </w:tc>
        <w:tc>
          <w:tcPr>
            <w:tcW w:w="1260" w:type="dxa"/>
            <w:tcBorders>
              <w:top w:val="nil"/>
              <w:left w:val="single" w:sz="4" w:space="0" w:color="auto"/>
              <w:bottom w:val="single" w:sz="4" w:space="0" w:color="auto"/>
              <w:right w:val="single" w:sz="4" w:space="0" w:color="auto"/>
            </w:tcBorders>
          </w:tcPr>
          <w:p w:rsidR="0022223F" w:rsidRDefault="0022223F" w:rsidP="00D82B95">
            <w:pPr>
              <w:jc w:val="right"/>
            </w:pPr>
            <w:r>
              <w:t>60</w:t>
            </w:r>
          </w:p>
        </w:tc>
        <w:tc>
          <w:tcPr>
            <w:tcW w:w="1800" w:type="dxa"/>
            <w:tcBorders>
              <w:top w:val="single" w:sz="4" w:space="0" w:color="auto"/>
              <w:left w:val="nil"/>
              <w:bottom w:val="single" w:sz="4" w:space="0" w:color="auto"/>
              <w:right w:val="single" w:sz="4" w:space="0" w:color="auto"/>
            </w:tcBorders>
          </w:tcPr>
          <w:p w:rsidR="0022223F" w:rsidRDefault="0022223F" w:rsidP="00D82B95">
            <w:pPr>
              <w:jc w:val="right"/>
            </w:pPr>
            <w:r>
              <w:t>286</w:t>
            </w:r>
          </w:p>
        </w:tc>
      </w:tr>
      <w:tr w:rsidR="0022223F" w:rsidRPr="00E32645">
        <w:trPr>
          <w:trHeight w:val="255"/>
        </w:trPr>
        <w:tc>
          <w:tcPr>
            <w:tcW w:w="3425" w:type="dxa"/>
            <w:tcBorders>
              <w:top w:val="nil"/>
              <w:left w:val="single" w:sz="4" w:space="0" w:color="auto"/>
              <w:bottom w:val="single" w:sz="4" w:space="0" w:color="auto"/>
              <w:right w:val="single" w:sz="4" w:space="0" w:color="auto"/>
            </w:tcBorders>
            <w:noWrap/>
          </w:tcPr>
          <w:p w:rsidR="0022223F" w:rsidRPr="00E32645" w:rsidRDefault="0022223F" w:rsidP="00D82B95">
            <w:r w:rsidRPr="00E32645">
              <w:t>201</w:t>
            </w:r>
            <w:r>
              <w:t>4</w:t>
            </w:r>
            <w:r w:rsidRPr="00E32645">
              <w:t>-201</w:t>
            </w:r>
            <w:r>
              <w:t>5</w:t>
            </w:r>
          </w:p>
        </w:tc>
        <w:tc>
          <w:tcPr>
            <w:tcW w:w="1440" w:type="dxa"/>
            <w:tcBorders>
              <w:top w:val="nil"/>
              <w:left w:val="nil"/>
              <w:bottom w:val="single" w:sz="4" w:space="0" w:color="auto"/>
              <w:right w:val="nil"/>
            </w:tcBorders>
            <w:shd w:val="clear" w:color="auto" w:fill="C0C0C0"/>
          </w:tcPr>
          <w:p w:rsidR="0022223F" w:rsidRPr="00E32645" w:rsidRDefault="0022223F" w:rsidP="00D82B95">
            <w:pPr>
              <w:jc w:val="right"/>
            </w:pPr>
            <w:r>
              <w:t>0</w:t>
            </w:r>
          </w:p>
        </w:tc>
        <w:tc>
          <w:tcPr>
            <w:tcW w:w="1620" w:type="dxa"/>
            <w:tcBorders>
              <w:top w:val="single" w:sz="4" w:space="0" w:color="auto"/>
              <w:left w:val="nil"/>
              <w:bottom w:val="single" w:sz="4" w:space="0" w:color="auto"/>
              <w:right w:val="single" w:sz="4" w:space="0" w:color="auto"/>
            </w:tcBorders>
          </w:tcPr>
          <w:p w:rsidR="0022223F" w:rsidRPr="00E32645" w:rsidRDefault="0022223F" w:rsidP="00D82B95">
            <w:pPr>
              <w:jc w:val="right"/>
            </w:pPr>
            <w:r>
              <w:t>582</w:t>
            </w:r>
          </w:p>
        </w:tc>
        <w:tc>
          <w:tcPr>
            <w:tcW w:w="1260" w:type="dxa"/>
            <w:tcBorders>
              <w:top w:val="nil"/>
              <w:left w:val="single" w:sz="4" w:space="0" w:color="auto"/>
              <w:bottom w:val="single" w:sz="4" w:space="0" w:color="auto"/>
              <w:right w:val="single" w:sz="4" w:space="0" w:color="auto"/>
            </w:tcBorders>
          </w:tcPr>
          <w:p w:rsidR="0022223F" w:rsidRDefault="0022223F" w:rsidP="00D82B95">
            <w:pPr>
              <w:jc w:val="right"/>
            </w:pPr>
            <w:r>
              <w:t>50</w:t>
            </w:r>
          </w:p>
        </w:tc>
        <w:tc>
          <w:tcPr>
            <w:tcW w:w="1800" w:type="dxa"/>
            <w:tcBorders>
              <w:top w:val="single" w:sz="4" w:space="0" w:color="auto"/>
              <w:left w:val="nil"/>
              <w:bottom w:val="single" w:sz="4" w:space="0" w:color="auto"/>
              <w:right w:val="single" w:sz="4" w:space="0" w:color="auto"/>
            </w:tcBorders>
          </w:tcPr>
          <w:p w:rsidR="0022223F" w:rsidRPr="00E32645" w:rsidRDefault="0022223F" w:rsidP="00D82B95">
            <w:pPr>
              <w:jc w:val="right"/>
            </w:pPr>
            <w:r>
              <w:t>291</w:t>
            </w:r>
          </w:p>
        </w:tc>
      </w:tr>
      <w:tr w:rsidR="0022223F">
        <w:trPr>
          <w:trHeight w:val="255"/>
        </w:trPr>
        <w:tc>
          <w:tcPr>
            <w:tcW w:w="3425" w:type="dxa"/>
            <w:tcBorders>
              <w:top w:val="nil"/>
              <w:left w:val="single" w:sz="4" w:space="0" w:color="auto"/>
              <w:bottom w:val="single" w:sz="4" w:space="0" w:color="auto"/>
              <w:right w:val="single" w:sz="4" w:space="0" w:color="auto"/>
            </w:tcBorders>
            <w:noWrap/>
          </w:tcPr>
          <w:p w:rsidR="0022223F" w:rsidRDefault="0022223F" w:rsidP="00D82B95">
            <w:pPr>
              <w:rPr>
                <w:b/>
                <w:bCs/>
              </w:rPr>
            </w:pPr>
            <w:r>
              <w:rPr>
                <w:b/>
                <w:bCs/>
              </w:rPr>
              <w:t>Total</w:t>
            </w:r>
          </w:p>
        </w:tc>
        <w:tc>
          <w:tcPr>
            <w:tcW w:w="1440" w:type="dxa"/>
            <w:tcBorders>
              <w:top w:val="nil"/>
              <w:left w:val="nil"/>
              <w:bottom w:val="single" w:sz="4" w:space="0" w:color="auto"/>
              <w:right w:val="nil"/>
            </w:tcBorders>
            <w:shd w:val="clear" w:color="auto" w:fill="C0C0C0"/>
          </w:tcPr>
          <w:p w:rsidR="0022223F" w:rsidRDefault="0022223F" w:rsidP="00D82B95">
            <w:pPr>
              <w:jc w:val="right"/>
              <w:rPr>
                <w:b/>
                <w:bCs/>
              </w:rPr>
            </w:pPr>
            <w:r>
              <w:rPr>
                <w:b/>
                <w:bCs/>
              </w:rPr>
              <w:t>1,170</w:t>
            </w:r>
          </w:p>
        </w:tc>
        <w:tc>
          <w:tcPr>
            <w:tcW w:w="1620" w:type="dxa"/>
            <w:tcBorders>
              <w:top w:val="single" w:sz="4" w:space="0" w:color="auto"/>
              <w:left w:val="nil"/>
              <w:bottom w:val="single" w:sz="4" w:space="0" w:color="auto"/>
              <w:right w:val="single" w:sz="4" w:space="0" w:color="auto"/>
            </w:tcBorders>
          </w:tcPr>
          <w:p w:rsidR="0022223F" w:rsidRDefault="0022223F" w:rsidP="00D82B95">
            <w:pPr>
              <w:jc w:val="right"/>
              <w:rPr>
                <w:b/>
                <w:bCs/>
              </w:rPr>
            </w:pPr>
            <w:r>
              <w:rPr>
                <w:b/>
                <w:bCs/>
              </w:rPr>
              <w:t>1,541</w:t>
            </w:r>
          </w:p>
        </w:tc>
        <w:tc>
          <w:tcPr>
            <w:tcW w:w="1260" w:type="dxa"/>
            <w:tcBorders>
              <w:top w:val="nil"/>
              <w:left w:val="single" w:sz="4" w:space="0" w:color="auto"/>
              <w:bottom w:val="single" w:sz="4" w:space="0" w:color="auto"/>
              <w:right w:val="single" w:sz="4" w:space="0" w:color="auto"/>
            </w:tcBorders>
          </w:tcPr>
          <w:p w:rsidR="0022223F" w:rsidRDefault="0022223F" w:rsidP="00D82B95">
            <w:pPr>
              <w:jc w:val="right"/>
              <w:rPr>
                <w:b/>
                <w:bCs/>
              </w:rPr>
            </w:pPr>
          </w:p>
        </w:tc>
        <w:tc>
          <w:tcPr>
            <w:tcW w:w="1800" w:type="dxa"/>
            <w:tcBorders>
              <w:top w:val="single" w:sz="4" w:space="0" w:color="auto"/>
              <w:left w:val="nil"/>
              <w:bottom w:val="single" w:sz="4" w:space="0" w:color="auto"/>
              <w:right w:val="single" w:sz="4" w:space="0" w:color="auto"/>
            </w:tcBorders>
          </w:tcPr>
          <w:p w:rsidR="0022223F" w:rsidRDefault="0022223F" w:rsidP="00D82B95">
            <w:pPr>
              <w:jc w:val="right"/>
              <w:rPr>
                <w:b/>
                <w:bCs/>
              </w:rPr>
            </w:pPr>
            <w:r>
              <w:rPr>
                <w:b/>
                <w:bCs/>
              </w:rPr>
              <w:t>1018</w:t>
            </w:r>
          </w:p>
        </w:tc>
      </w:tr>
    </w:tbl>
    <w:p w:rsidR="0022223F" w:rsidRDefault="0022223F" w:rsidP="009D3000">
      <w:pPr>
        <w:rPr>
          <w:b/>
          <w:bCs/>
        </w:rPr>
      </w:pPr>
    </w:p>
    <w:p w:rsidR="0022223F" w:rsidRPr="000D499C" w:rsidRDefault="0022223F" w:rsidP="009D3000">
      <w:pPr>
        <w:rPr>
          <w:b/>
          <w:bCs/>
          <w:sz w:val="20"/>
          <w:szCs w:val="20"/>
        </w:rPr>
      </w:pPr>
      <w:r>
        <w:rPr>
          <w:b/>
          <w:bCs/>
        </w:rPr>
        <w:br w:type="page"/>
      </w:r>
      <w:r w:rsidRPr="000D499C">
        <w:rPr>
          <w:b/>
          <w:bCs/>
        </w:rPr>
        <w:t>Housing Benefits</w:t>
      </w:r>
    </w:p>
    <w:p w:rsidR="0022223F" w:rsidRDefault="0022223F" w:rsidP="009D3000">
      <w:pPr>
        <w:ind w:right="-720"/>
        <w:jc w:val="both"/>
      </w:pPr>
      <w:r>
        <w:t xml:space="preserve">Currently, bad debt provisions </w:t>
      </w:r>
      <w:r w:rsidRPr="00F15BA9">
        <w:t xml:space="preserve">of </w:t>
      </w:r>
      <w:r w:rsidRPr="00B3238E">
        <w:t>£2.930m</w:t>
      </w:r>
      <w:r w:rsidRPr="008C4D6D">
        <w:t xml:space="preserve"> [</w:t>
      </w:r>
      <w:r w:rsidRPr="00750E63">
        <w:rPr>
          <w:b/>
          <w:bCs/>
        </w:rPr>
        <w:t>£3.936m</w:t>
      </w:r>
      <w:r w:rsidRPr="00AA1171">
        <w:t xml:space="preserve">- </w:t>
      </w:r>
      <w:r w:rsidRPr="00B3238E">
        <w:t>£1,006m</w:t>
      </w:r>
      <w:r w:rsidRPr="008C4D6D">
        <w:t xml:space="preserve"> w/offs 1/4/1</w:t>
      </w:r>
      <w:r>
        <w:t>4</w:t>
      </w:r>
      <w:r w:rsidRPr="008C4D6D">
        <w:t xml:space="preserve"> to 30/0</w:t>
      </w:r>
      <w:r>
        <w:t>9</w:t>
      </w:r>
      <w:r w:rsidRPr="008C4D6D">
        <w:t>/1</w:t>
      </w:r>
      <w:r>
        <w:t>4</w:t>
      </w:r>
      <w:r w:rsidRPr="008C4D6D">
        <w:t>]</w:t>
      </w:r>
      <w:r>
        <w:t xml:space="preserve"> exist for Housing Benefit overpayment debt against a potential BDP </w:t>
      </w:r>
      <w:r w:rsidRPr="00AA1171">
        <w:t xml:space="preserve">of </w:t>
      </w:r>
      <w:r w:rsidRPr="00B3238E">
        <w:t>£3.595m (£2,289m + £1,306m = £3,595m</w:t>
      </w:r>
      <w:r w:rsidRPr="00AA1171">
        <w:t>).</w:t>
      </w:r>
      <w:r>
        <w:t xml:space="preserve"> It is anticipated, at this stage, that the shortfall in provision will be funded from the subsidy on overpayments. </w:t>
      </w:r>
    </w:p>
    <w:p w:rsidR="0022223F" w:rsidRDefault="0022223F" w:rsidP="009D3000">
      <w:pPr>
        <w:ind w:right="-720"/>
        <w:jc w:val="both"/>
        <w:rPr>
          <w:sz w:val="20"/>
          <w:szCs w:val="20"/>
        </w:rPr>
      </w:pPr>
    </w:p>
    <w:tbl>
      <w:tblPr>
        <w:tblW w:w="9725" w:type="dxa"/>
        <w:tblInd w:w="-106" w:type="dxa"/>
        <w:tblLayout w:type="fixed"/>
        <w:tblLook w:val="0000"/>
      </w:tblPr>
      <w:tblGrid>
        <w:gridCol w:w="3425"/>
        <w:gridCol w:w="1620"/>
        <w:gridCol w:w="1440"/>
        <w:gridCol w:w="1260"/>
        <w:gridCol w:w="1980"/>
      </w:tblGrid>
      <w:tr w:rsidR="0022223F" w:rsidRPr="00E04727">
        <w:trPr>
          <w:trHeight w:val="524"/>
        </w:trPr>
        <w:tc>
          <w:tcPr>
            <w:tcW w:w="3425" w:type="dxa"/>
            <w:tcBorders>
              <w:top w:val="single" w:sz="4" w:space="0" w:color="auto"/>
              <w:left w:val="single" w:sz="4" w:space="0" w:color="auto"/>
              <w:bottom w:val="single" w:sz="4" w:space="0" w:color="auto"/>
              <w:right w:val="single" w:sz="4" w:space="0" w:color="auto"/>
            </w:tcBorders>
            <w:noWrap/>
          </w:tcPr>
          <w:p w:rsidR="0022223F" w:rsidRDefault="0022223F" w:rsidP="00D82B95">
            <w:pPr>
              <w:rPr>
                <w:b/>
                <w:bCs/>
                <w:sz w:val="20"/>
                <w:szCs w:val="20"/>
              </w:rPr>
            </w:pPr>
            <w:r w:rsidRPr="00E04727">
              <w:rPr>
                <w:b/>
                <w:bCs/>
                <w:sz w:val="20"/>
                <w:szCs w:val="20"/>
              </w:rPr>
              <w:t>Housing Benefit</w:t>
            </w:r>
          </w:p>
          <w:p w:rsidR="0022223F" w:rsidRPr="00E04727" w:rsidRDefault="0022223F" w:rsidP="00D82B95">
            <w:pPr>
              <w:rPr>
                <w:b/>
                <w:bCs/>
                <w:sz w:val="20"/>
                <w:szCs w:val="20"/>
              </w:rPr>
            </w:pPr>
            <w:r>
              <w:rPr>
                <w:b/>
                <w:bCs/>
                <w:sz w:val="20"/>
                <w:szCs w:val="20"/>
              </w:rPr>
              <w:t>DEBTORS</w:t>
            </w:r>
          </w:p>
        </w:tc>
        <w:tc>
          <w:tcPr>
            <w:tcW w:w="1620" w:type="dxa"/>
            <w:tcBorders>
              <w:top w:val="single" w:sz="4" w:space="0" w:color="auto"/>
              <w:left w:val="nil"/>
              <w:bottom w:val="single" w:sz="4" w:space="0" w:color="auto"/>
              <w:right w:val="nil"/>
            </w:tcBorders>
          </w:tcPr>
          <w:p w:rsidR="0022223F" w:rsidRPr="00E04727" w:rsidRDefault="0022223F" w:rsidP="00D82B95">
            <w:pPr>
              <w:jc w:val="center"/>
              <w:rPr>
                <w:sz w:val="20"/>
                <w:szCs w:val="20"/>
              </w:rPr>
            </w:pPr>
            <w:r>
              <w:rPr>
                <w:sz w:val="20"/>
                <w:szCs w:val="20"/>
              </w:rPr>
              <w:t>Outstand</w:t>
            </w:r>
            <w:r w:rsidRPr="00E04727">
              <w:rPr>
                <w:sz w:val="20"/>
                <w:szCs w:val="20"/>
              </w:rPr>
              <w:t xml:space="preserve"> as at 1</w:t>
            </w:r>
            <w:r w:rsidRPr="00E04727">
              <w:rPr>
                <w:sz w:val="20"/>
                <w:szCs w:val="20"/>
                <w:vertAlign w:val="superscript"/>
              </w:rPr>
              <w:t>st</w:t>
            </w:r>
            <w:r w:rsidRPr="00E04727">
              <w:rPr>
                <w:sz w:val="20"/>
                <w:szCs w:val="20"/>
              </w:rPr>
              <w:t xml:space="preserve"> of April</w:t>
            </w:r>
          </w:p>
        </w:tc>
        <w:tc>
          <w:tcPr>
            <w:tcW w:w="1440" w:type="dxa"/>
            <w:tcBorders>
              <w:top w:val="single" w:sz="4" w:space="0" w:color="auto"/>
              <w:left w:val="nil"/>
              <w:bottom w:val="single" w:sz="4" w:space="0" w:color="auto"/>
              <w:right w:val="single" w:sz="4" w:space="0" w:color="auto"/>
            </w:tcBorders>
          </w:tcPr>
          <w:p w:rsidR="0022223F" w:rsidRPr="00E04727" w:rsidRDefault="0022223F" w:rsidP="00D82B95">
            <w:pPr>
              <w:ind w:right="-108"/>
              <w:jc w:val="center"/>
              <w:rPr>
                <w:sz w:val="20"/>
                <w:szCs w:val="20"/>
              </w:rPr>
            </w:pPr>
            <w:r>
              <w:rPr>
                <w:sz w:val="20"/>
                <w:szCs w:val="20"/>
              </w:rPr>
              <w:t>Outstand</w:t>
            </w:r>
            <w:r w:rsidRPr="00E04727">
              <w:rPr>
                <w:sz w:val="20"/>
                <w:szCs w:val="20"/>
              </w:rPr>
              <w:t xml:space="preserve"> as at Qtr</w:t>
            </w:r>
            <w:r>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22223F" w:rsidRPr="00E04727" w:rsidRDefault="0022223F" w:rsidP="00D82B95">
            <w:pPr>
              <w:jc w:val="center"/>
              <w:rPr>
                <w:sz w:val="20"/>
                <w:szCs w:val="20"/>
              </w:rPr>
            </w:pPr>
            <w:r w:rsidRPr="00E04727">
              <w:rPr>
                <w:sz w:val="20"/>
                <w:szCs w:val="20"/>
              </w:rPr>
              <w:t xml:space="preserve">BDP </w:t>
            </w:r>
          </w:p>
        </w:tc>
        <w:tc>
          <w:tcPr>
            <w:tcW w:w="1980" w:type="dxa"/>
            <w:tcBorders>
              <w:top w:val="single" w:sz="4" w:space="0" w:color="auto"/>
              <w:left w:val="single" w:sz="4" w:space="0" w:color="auto"/>
              <w:bottom w:val="single" w:sz="4" w:space="0" w:color="auto"/>
              <w:right w:val="single" w:sz="4" w:space="0" w:color="auto"/>
            </w:tcBorders>
          </w:tcPr>
          <w:p w:rsidR="0022223F" w:rsidRPr="00E04727" w:rsidRDefault="0022223F" w:rsidP="00D82B95">
            <w:pPr>
              <w:jc w:val="center"/>
              <w:rPr>
                <w:sz w:val="20"/>
                <w:szCs w:val="20"/>
              </w:rPr>
            </w:pPr>
            <w:r w:rsidRPr="00E04727">
              <w:rPr>
                <w:b/>
                <w:bCs/>
                <w:sz w:val="20"/>
                <w:szCs w:val="20"/>
              </w:rPr>
              <w:t>BDP as at Qtr</w:t>
            </w:r>
            <w:r>
              <w:rPr>
                <w:b/>
                <w:bCs/>
                <w:sz w:val="20"/>
                <w:szCs w:val="20"/>
              </w:rPr>
              <w:t>2</w:t>
            </w:r>
          </w:p>
        </w:tc>
      </w:tr>
      <w:tr w:rsidR="0022223F">
        <w:trPr>
          <w:trHeight w:val="170"/>
        </w:trPr>
        <w:tc>
          <w:tcPr>
            <w:tcW w:w="3425" w:type="dxa"/>
            <w:tcBorders>
              <w:top w:val="nil"/>
              <w:left w:val="single" w:sz="4" w:space="0" w:color="auto"/>
              <w:bottom w:val="single" w:sz="4" w:space="0" w:color="auto"/>
              <w:right w:val="single" w:sz="4" w:space="0" w:color="auto"/>
            </w:tcBorders>
            <w:noWrap/>
            <w:vAlign w:val="bottom"/>
          </w:tcPr>
          <w:p w:rsidR="0022223F" w:rsidRDefault="0022223F" w:rsidP="00D82B95"/>
        </w:tc>
        <w:tc>
          <w:tcPr>
            <w:tcW w:w="1620" w:type="dxa"/>
            <w:tcBorders>
              <w:top w:val="nil"/>
              <w:left w:val="nil"/>
              <w:bottom w:val="single" w:sz="4" w:space="0" w:color="auto"/>
              <w:right w:val="nil"/>
            </w:tcBorders>
            <w:vAlign w:val="bottom"/>
          </w:tcPr>
          <w:p w:rsidR="0022223F" w:rsidRDefault="0022223F" w:rsidP="00D82B95">
            <w:pPr>
              <w:jc w:val="center"/>
            </w:pPr>
            <w:r>
              <w:t>£000</w:t>
            </w:r>
          </w:p>
        </w:tc>
        <w:tc>
          <w:tcPr>
            <w:tcW w:w="1440" w:type="dxa"/>
            <w:tcBorders>
              <w:top w:val="single" w:sz="4" w:space="0" w:color="auto"/>
              <w:left w:val="nil"/>
              <w:bottom w:val="single" w:sz="4" w:space="0" w:color="auto"/>
              <w:right w:val="single" w:sz="4" w:space="0" w:color="auto"/>
            </w:tcBorders>
            <w:vAlign w:val="bottom"/>
          </w:tcPr>
          <w:p w:rsidR="0022223F" w:rsidRDefault="0022223F" w:rsidP="00D82B95">
            <w:pPr>
              <w:jc w:val="center"/>
            </w:pPr>
            <w:r>
              <w:t>£000</w:t>
            </w:r>
          </w:p>
        </w:tc>
        <w:tc>
          <w:tcPr>
            <w:tcW w:w="1260" w:type="dxa"/>
            <w:tcBorders>
              <w:top w:val="nil"/>
              <w:left w:val="single" w:sz="4" w:space="0" w:color="auto"/>
              <w:bottom w:val="single" w:sz="4" w:space="0" w:color="auto"/>
              <w:right w:val="single" w:sz="4" w:space="0" w:color="auto"/>
            </w:tcBorders>
            <w:vAlign w:val="bottom"/>
          </w:tcPr>
          <w:p w:rsidR="0022223F" w:rsidRDefault="0022223F" w:rsidP="00D82B95">
            <w:pPr>
              <w:jc w:val="center"/>
            </w:pPr>
            <w:r>
              <w:t>%</w:t>
            </w:r>
          </w:p>
        </w:tc>
        <w:tc>
          <w:tcPr>
            <w:tcW w:w="1980" w:type="dxa"/>
            <w:tcBorders>
              <w:top w:val="single" w:sz="4" w:space="0" w:color="auto"/>
              <w:left w:val="nil"/>
              <w:bottom w:val="single" w:sz="4" w:space="0" w:color="auto"/>
              <w:right w:val="single" w:sz="4" w:space="0" w:color="auto"/>
            </w:tcBorders>
            <w:vAlign w:val="bottom"/>
          </w:tcPr>
          <w:p w:rsidR="0022223F" w:rsidRDefault="0022223F" w:rsidP="00D82B95">
            <w:pPr>
              <w:jc w:val="center"/>
            </w:pPr>
            <w:r>
              <w:t>£000</w:t>
            </w:r>
          </w:p>
        </w:tc>
      </w:tr>
      <w:tr w:rsidR="0022223F">
        <w:trPr>
          <w:trHeight w:val="170"/>
        </w:trPr>
        <w:tc>
          <w:tcPr>
            <w:tcW w:w="3425" w:type="dxa"/>
            <w:tcBorders>
              <w:top w:val="nil"/>
              <w:left w:val="single" w:sz="4" w:space="0" w:color="auto"/>
              <w:bottom w:val="single" w:sz="4" w:space="0" w:color="auto"/>
              <w:right w:val="single" w:sz="4" w:space="0" w:color="auto"/>
            </w:tcBorders>
            <w:noWrap/>
            <w:vAlign w:val="bottom"/>
          </w:tcPr>
          <w:p w:rsidR="0022223F" w:rsidRDefault="0022223F" w:rsidP="00D82B95">
            <w:r>
              <w:t>Pre 2012-2013</w:t>
            </w:r>
          </w:p>
        </w:tc>
        <w:tc>
          <w:tcPr>
            <w:tcW w:w="1620" w:type="dxa"/>
            <w:tcBorders>
              <w:top w:val="nil"/>
              <w:left w:val="nil"/>
              <w:bottom w:val="single" w:sz="4" w:space="0" w:color="auto"/>
              <w:right w:val="nil"/>
            </w:tcBorders>
            <w:shd w:val="clear" w:color="auto" w:fill="C0C0C0"/>
          </w:tcPr>
          <w:p w:rsidR="0022223F" w:rsidRDefault="0022223F" w:rsidP="00D82B95">
            <w:pPr>
              <w:jc w:val="right"/>
            </w:pPr>
            <w:r>
              <w:t>1,204</w:t>
            </w:r>
          </w:p>
        </w:tc>
        <w:tc>
          <w:tcPr>
            <w:tcW w:w="1440" w:type="dxa"/>
            <w:tcBorders>
              <w:top w:val="single" w:sz="4" w:space="0" w:color="auto"/>
              <w:left w:val="nil"/>
              <w:bottom w:val="single" w:sz="4" w:space="0" w:color="auto"/>
              <w:right w:val="single" w:sz="4" w:space="0" w:color="auto"/>
            </w:tcBorders>
          </w:tcPr>
          <w:p w:rsidR="0022223F" w:rsidRDefault="0022223F" w:rsidP="00D82B95">
            <w:pPr>
              <w:jc w:val="right"/>
            </w:pPr>
            <w:r>
              <w:t>864</w:t>
            </w:r>
          </w:p>
        </w:tc>
        <w:tc>
          <w:tcPr>
            <w:tcW w:w="1260" w:type="dxa"/>
            <w:tcBorders>
              <w:top w:val="nil"/>
              <w:left w:val="single" w:sz="4" w:space="0" w:color="auto"/>
              <w:bottom w:val="single" w:sz="4" w:space="0" w:color="auto"/>
              <w:right w:val="single" w:sz="4" w:space="0" w:color="auto"/>
            </w:tcBorders>
          </w:tcPr>
          <w:p w:rsidR="0022223F" w:rsidRDefault="0022223F" w:rsidP="00D82B95">
            <w:pPr>
              <w:jc w:val="right"/>
            </w:pPr>
            <w:r>
              <w:t>100</w:t>
            </w:r>
          </w:p>
        </w:tc>
        <w:tc>
          <w:tcPr>
            <w:tcW w:w="1980" w:type="dxa"/>
            <w:tcBorders>
              <w:top w:val="single" w:sz="4" w:space="0" w:color="auto"/>
              <w:left w:val="nil"/>
              <w:bottom w:val="single" w:sz="4" w:space="0" w:color="auto"/>
              <w:right w:val="single" w:sz="4" w:space="0" w:color="auto"/>
            </w:tcBorders>
          </w:tcPr>
          <w:p w:rsidR="0022223F" w:rsidRDefault="0022223F" w:rsidP="00D82B95">
            <w:pPr>
              <w:jc w:val="right"/>
            </w:pPr>
            <w:r>
              <w:t>864</w:t>
            </w:r>
          </w:p>
        </w:tc>
      </w:tr>
      <w:tr w:rsidR="0022223F">
        <w:trPr>
          <w:trHeight w:val="255"/>
        </w:trPr>
        <w:tc>
          <w:tcPr>
            <w:tcW w:w="3425" w:type="dxa"/>
            <w:tcBorders>
              <w:top w:val="nil"/>
              <w:left w:val="single" w:sz="4" w:space="0" w:color="auto"/>
              <w:bottom w:val="single" w:sz="4" w:space="0" w:color="auto"/>
              <w:right w:val="single" w:sz="4" w:space="0" w:color="auto"/>
            </w:tcBorders>
            <w:noWrap/>
            <w:vAlign w:val="bottom"/>
          </w:tcPr>
          <w:p w:rsidR="0022223F" w:rsidRDefault="0022223F" w:rsidP="00D82B95">
            <w:r>
              <w:t xml:space="preserve">2012-2013 </w:t>
            </w:r>
          </w:p>
        </w:tc>
        <w:tc>
          <w:tcPr>
            <w:tcW w:w="1620" w:type="dxa"/>
            <w:tcBorders>
              <w:top w:val="nil"/>
              <w:left w:val="nil"/>
              <w:bottom w:val="single" w:sz="4" w:space="0" w:color="auto"/>
              <w:right w:val="nil"/>
            </w:tcBorders>
            <w:shd w:val="clear" w:color="auto" w:fill="C0C0C0"/>
          </w:tcPr>
          <w:p w:rsidR="0022223F" w:rsidRDefault="0022223F" w:rsidP="00D82B95">
            <w:pPr>
              <w:jc w:val="right"/>
            </w:pPr>
            <w:r>
              <w:t>764</w:t>
            </w:r>
          </w:p>
        </w:tc>
        <w:tc>
          <w:tcPr>
            <w:tcW w:w="1440" w:type="dxa"/>
            <w:tcBorders>
              <w:top w:val="single" w:sz="4" w:space="0" w:color="auto"/>
              <w:left w:val="nil"/>
              <w:bottom w:val="single" w:sz="4" w:space="0" w:color="auto"/>
              <w:right w:val="single" w:sz="4" w:space="0" w:color="auto"/>
            </w:tcBorders>
          </w:tcPr>
          <w:p w:rsidR="0022223F" w:rsidRDefault="0022223F" w:rsidP="00D82B95">
            <w:pPr>
              <w:jc w:val="right"/>
            </w:pPr>
            <w:r>
              <w:t>479</w:t>
            </w:r>
          </w:p>
        </w:tc>
        <w:tc>
          <w:tcPr>
            <w:tcW w:w="1260" w:type="dxa"/>
            <w:tcBorders>
              <w:top w:val="nil"/>
              <w:left w:val="single" w:sz="4" w:space="0" w:color="auto"/>
              <w:bottom w:val="single" w:sz="4" w:space="0" w:color="auto"/>
              <w:right w:val="single" w:sz="4" w:space="0" w:color="auto"/>
            </w:tcBorders>
          </w:tcPr>
          <w:p w:rsidR="0022223F" w:rsidRDefault="0022223F" w:rsidP="00D82B95">
            <w:pPr>
              <w:jc w:val="right"/>
            </w:pPr>
            <w:r>
              <w:t>100</w:t>
            </w:r>
          </w:p>
        </w:tc>
        <w:tc>
          <w:tcPr>
            <w:tcW w:w="1980" w:type="dxa"/>
            <w:tcBorders>
              <w:top w:val="single" w:sz="4" w:space="0" w:color="auto"/>
              <w:left w:val="nil"/>
              <w:bottom w:val="single" w:sz="4" w:space="0" w:color="auto"/>
              <w:right w:val="single" w:sz="4" w:space="0" w:color="auto"/>
            </w:tcBorders>
          </w:tcPr>
          <w:p w:rsidR="0022223F" w:rsidRDefault="0022223F" w:rsidP="00D82B95">
            <w:pPr>
              <w:jc w:val="right"/>
            </w:pPr>
            <w:r>
              <w:t>479</w:t>
            </w:r>
          </w:p>
        </w:tc>
      </w:tr>
      <w:tr w:rsidR="0022223F">
        <w:trPr>
          <w:trHeight w:val="255"/>
        </w:trPr>
        <w:tc>
          <w:tcPr>
            <w:tcW w:w="3425" w:type="dxa"/>
            <w:tcBorders>
              <w:top w:val="nil"/>
              <w:left w:val="single" w:sz="4" w:space="0" w:color="auto"/>
              <w:bottom w:val="single" w:sz="4" w:space="0" w:color="auto"/>
              <w:right w:val="single" w:sz="4" w:space="0" w:color="auto"/>
            </w:tcBorders>
            <w:noWrap/>
            <w:vAlign w:val="bottom"/>
          </w:tcPr>
          <w:p w:rsidR="0022223F" w:rsidRDefault="0022223F" w:rsidP="00D82B95">
            <w:r>
              <w:t>2013-2014</w:t>
            </w:r>
          </w:p>
        </w:tc>
        <w:tc>
          <w:tcPr>
            <w:tcW w:w="1620" w:type="dxa"/>
            <w:tcBorders>
              <w:top w:val="nil"/>
              <w:left w:val="nil"/>
              <w:bottom w:val="single" w:sz="4" w:space="0" w:color="auto"/>
              <w:right w:val="nil"/>
            </w:tcBorders>
            <w:shd w:val="clear" w:color="auto" w:fill="C0C0C0"/>
          </w:tcPr>
          <w:p w:rsidR="0022223F" w:rsidRDefault="0022223F" w:rsidP="00D82B95">
            <w:pPr>
              <w:jc w:val="right"/>
            </w:pPr>
            <w:r>
              <w:t>1,882</w:t>
            </w:r>
          </w:p>
        </w:tc>
        <w:tc>
          <w:tcPr>
            <w:tcW w:w="1440" w:type="dxa"/>
            <w:tcBorders>
              <w:top w:val="single" w:sz="4" w:space="0" w:color="auto"/>
              <w:left w:val="nil"/>
              <w:bottom w:val="single" w:sz="4" w:space="0" w:color="auto"/>
              <w:right w:val="single" w:sz="4" w:space="0" w:color="auto"/>
            </w:tcBorders>
          </w:tcPr>
          <w:p w:rsidR="0022223F" w:rsidRDefault="0022223F" w:rsidP="00D82B95">
            <w:pPr>
              <w:jc w:val="right"/>
            </w:pPr>
            <w:r>
              <w:t>986</w:t>
            </w:r>
          </w:p>
        </w:tc>
        <w:tc>
          <w:tcPr>
            <w:tcW w:w="1260" w:type="dxa"/>
            <w:tcBorders>
              <w:top w:val="nil"/>
              <w:left w:val="single" w:sz="4" w:space="0" w:color="auto"/>
              <w:bottom w:val="single" w:sz="4" w:space="0" w:color="auto"/>
              <w:right w:val="single" w:sz="4" w:space="0" w:color="auto"/>
            </w:tcBorders>
          </w:tcPr>
          <w:p w:rsidR="0022223F" w:rsidRDefault="0022223F" w:rsidP="00D82B95">
            <w:pPr>
              <w:jc w:val="right"/>
            </w:pPr>
            <w:r>
              <w:t>50</w:t>
            </w:r>
          </w:p>
        </w:tc>
        <w:tc>
          <w:tcPr>
            <w:tcW w:w="1980" w:type="dxa"/>
            <w:tcBorders>
              <w:top w:val="single" w:sz="4" w:space="0" w:color="auto"/>
              <w:left w:val="nil"/>
              <w:bottom w:val="single" w:sz="4" w:space="0" w:color="auto"/>
              <w:right w:val="single" w:sz="4" w:space="0" w:color="auto"/>
            </w:tcBorders>
          </w:tcPr>
          <w:p w:rsidR="0022223F" w:rsidRDefault="0022223F" w:rsidP="00D82B95">
            <w:pPr>
              <w:jc w:val="right"/>
            </w:pPr>
            <w:r>
              <w:t>493</w:t>
            </w:r>
          </w:p>
        </w:tc>
      </w:tr>
      <w:tr w:rsidR="0022223F">
        <w:trPr>
          <w:trHeight w:val="255"/>
        </w:trPr>
        <w:tc>
          <w:tcPr>
            <w:tcW w:w="3425" w:type="dxa"/>
            <w:tcBorders>
              <w:top w:val="nil"/>
              <w:left w:val="single" w:sz="4" w:space="0" w:color="auto"/>
              <w:bottom w:val="single" w:sz="4" w:space="0" w:color="auto"/>
              <w:right w:val="single" w:sz="4" w:space="0" w:color="auto"/>
            </w:tcBorders>
            <w:noWrap/>
            <w:vAlign w:val="bottom"/>
          </w:tcPr>
          <w:p w:rsidR="0022223F" w:rsidRDefault="0022223F" w:rsidP="00D82B95">
            <w:r>
              <w:t>2014-2015</w:t>
            </w:r>
          </w:p>
        </w:tc>
        <w:tc>
          <w:tcPr>
            <w:tcW w:w="1620" w:type="dxa"/>
            <w:tcBorders>
              <w:top w:val="nil"/>
              <w:left w:val="nil"/>
              <w:bottom w:val="single" w:sz="4" w:space="0" w:color="auto"/>
              <w:right w:val="nil"/>
            </w:tcBorders>
            <w:shd w:val="clear" w:color="auto" w:fill="C0C0C0"/>
          </w:tcPr>
          <w:p w:rsidR="0022223F" w:rsidRDefault="0022223F" w:rsidP="00D82B95">
            <w:pPr>
              <w:jc w:val="right"/>
            </w:pPr>
            <w:r>
              <w:t>0</w:t>
            </w:r>
          </w:p>
        </w:tc>
        <w:tc>
          <w:tcPr>
            <w:tcW w:w="1440" w:type="dxa"/>
            <w:tcBorders>
              <w:top w:val="single" w:sz="4" w:space="0" w:color="auto"/>
              <w:left w:val="nil"/>
              <w:bottom w:val="single" w:sz="4" w:space="0" w:color="auto"/>
              <w:right w:val="single" w:sz="4" w:space="0" w:color="auto"/>
            </w:tcBorders>
          </w:tcPr>
          <w:p w:rsidR="0022223F" w:rsidRDefault="0022223F" w:rsidP="00D82B95">
            <w:pPr>
              <w:jc w:val="right"/>
            </w:pPr>
            <w:r>
              <w:t>1,510</w:t>
            </w:r>
          </w:p>
        </w:tc>
        <w:tc>
          <w:tcPr>
            <w:tcW w:w="1260" w:type="dxa"/>
            <w:tcBorders>
              <w:top w:val="nil"/>
              <w:left w:val="single" w:sz="4" w:space="0" w:color="auto"/>
              <w:bottom w:val="single" w:sz="4" w:space="0" w:color="auto"/>
              <w:right w:val="single" w:sz="4" w:space="0" w:color="auto"/>
            </w:tcBorders>
          </w:tcPr>
          <w:p w:rsidR="0022223F" w:rsidRDefault="0022223F" w:rsidP="00D82B95">
            <w:pPr>
              <w:jc w:val="right"/>
            </w:pPr>
            <w:r>
              <w:t>30</w:t>
            </w:r>
          </w:p>
        </w:tc>
        <w:tc>
          <w:tcPr>
            <w:tcW w:w="1980" w:type="dxa"/>
            <w:tcBorders>
              <w:top w:val="single" w:sz="4" w:space="0" w:color="auto"/>
              <w:left w:val="nil"/>
              <w:bottom w:val="single" w:sz="4" w:space="0" w:color="auto"/>
              <w:right w:val="single" w:sz="4" w:space="0" w:color="auto"/>
            </w:tcBorders>
          </w:tcPr>
          <w:p w:rsidR="0022223F" w:rsidRDefault="0022223F" w:rsidP="00D82B95">
            <w:pPr>
              <w:jc w:val="right"/>
            </w:pPr>
            <w:r>
              <w:t>453</w:t>
            </w:r>
          </w:p>
        </w:tc>
      </w:tr>
      <w:tr w:rsidR="0022223F">
        <w:trPr>
          <w:trHeight w:val="255"/>
        </w:trPr>
        <w:tc>
          <w:tcPr>
            <w:tcW w:w="3425" w:type="dxa"/>
            <w:tcBorders>
              <w:top w:val="nil"/>
              <w:left w:val="single" w:sz="4" w:space="0" w:color="auto"/>
              <w:bottom w:val="single" w:sz="4" w:space="0" w:color="auto"/>
              <w:right w:val="single" w:sz="4" w:space="0" w:color="auto"/>
            </w:tcBorders>
            <w:noWrap/>
          </w:tcPr>
          <w:p w:rsidR="0022223F" w:rsidRDefault="0022223F" w:rsidP="00D82B95">
            <w:r>
              <w:rPr>
                <w:b/>
                <w:bCs/>
              </w:rPr>
              <w:t>Totals</w:t>
            </w:r>
          </w:p>
        </w:tc>
        <w:tc>
          <w:tcPr>
            <w:tcW w:w="1620" w:type="dxa"/>
            <w:tcBorders>
              <w:top w:val="nil"/>
              <w:left w:val="nil"/>
              <w:bottom w:val="single" w:sz="4" w:space="0" w:color="auto"/>
              <w:right w:val="nil"/>
            </w:tcBorders>
            <w:shd w:val="clear" w:color="auto" w:fill="C0C0C0"/>
          </w:tcPr>
          <w:p w:rsidR="0022223F" w:rsidRDefault="0022223F" w:rsidP="00D82B95">
            <w:pPr>
              <w:jc w:val="right"/>
            </w:pPr>
            <w:r>
              <w:rPr>
                <w:b/>
                <w:bCs/>
              </w:rPr>
              <w:t>3,850</w:t>
            </w:r>
          </w:p>
        </w:tc>
        <w:tc>
          <w:tcPr>
            <w:tcW w:w="1440" w:type="dxa"/>
            <w:tcBorders>
              <w:top w:val="single" w:sz="4" w:space="0" w:color="auto"/>
              <w:left w:val="nil"/>
              <w:bottom w:val="single" w:sz="4" w:space="0" w:color="auto"/>
              <w:right w:val="single" w:sz="4" w:space="0" w:color="auto"/>
            </w:tcBorders>
          </w:tcPr>
          <w:p w:rsidR="0022223F" w:rsidRDefault="0022223F" w:rsidP="00D82B95">
            <w:pPr>
              <w:jc w:val="right"/>
            </w:pPr>
            <w:r>
              <w:rPr>
                <w:b/>
                <w:bCs/>
              </w:rPr>
              <w:t>3,839</w:t>
            </w:r>
          </w:p>
        </w:tc>
        <w:tc>
          <w:tcPr>
            <w:tcW w:w="1260" w:type="dxa"/>
            <w:tcBorders>
              <w:top w:val="nil"/>
              <w:left w:val="single" w:sz="4" w:space="0" w:color="auto"/>
              <w:bottom w:val="single" w:sz="4" w:space="0" w:color="auto"/>
              <w:right w:val="single" w:sz="4" w:space="0" w:color="auto"/>
            </w:tcBorders>
          </w:tcPr>
          <w:p w:rsidR="0022223F" w:rsidRDefault="0022223F" w:rsidP="00D82B95">
            <w:pPr>
              <w:jc w:val="right"/>
            </w:pPr>
          </w:p>
        </w:tc>
        <w:tc>
          <w:tcPr>
            <w:tcW w:w="1980" w:type="dxa"/>
            <w:tcBorders>
              <w:top w:val="single" w:sz="4" w:space="0" w:color="auto"/>
              <w:left w:val="nil"/>
              <w:bottom w:val="single" w:sz="4" w:space="0" w:color="auto"/>
              <w:right w:val="single" w:sz="4" w:space="0" w:color="auto"/>
            </w:tcBorders>
          </w:tcPr>
          <w:p w:rsidR="0022223F" w:rsidRDefault="0022223F" w:rsidP="00D82B95">
            <w:pPr>
              <w:jc w:val="right"/>
            </w:pPr>
            <w:r>
              <w:rPr>
                <w:b/>
                <w:bCs/>
              </w:rPr>
              <w:t>2,289</w:t>
            </w:r>
          </w:p>
        </w:tc>
      </w:tr>
      <w:tr w:rsidR="0022223F">
        <w:trPr>
          <w:trHeight w:val="255"/>
        </w:trPr>
        <w:tc>
          <w:tcPr>
            <w:tcW w:w="3425" w:type="dxa"/>
            <w:tcBorders>
              <w:top w:val="nil"/>
              <w:left w:val="single" w:sz="4" w:space="0" w:color="auto"/>
              <w:bottom w:val="single" w:sz="4" w:space="0" w:color="auto"/>
              <w:right w:val="single" w:sz="4" w:space="0" w:color="auto"/>
            </w:tcBorders>
            <w:noWrap/>
          </w:tcPr>
          <w:p w:rsidR="0022223F" w:rsidRDefault="0022223F" w:rsidP="00D82B95">
            <w:pPr>
              <w:rPr>
                <w:b/>
                <w:bCs/>
              </w:rPr>
            </w:pPr>
          </w:p>
        </w:tc>
        <w:tc>
          <w:tcPr>
            <w:tcW w:w="1620" w:type="dxa"/>
            <w:tcBorders>
              <w:top w:val="nil"/>
              <w:left w:val="nil"/>
              <w:bottom w:val="single" w:sz="4" w:space="0" w:color="auto"/>
              <w:right w:val="nil"/>
            </w:tcBorders>
            <w:shd w:val="clear" w:color="auto" w:fill="C0C0C0"/>
          </w:tcPr>
          <w:p w:rsidR="0022223F" w:rsidRDefault="0022223F" w:rsidP="00D82B95">
            <w:pPr>
              <w:jc w:val="right"/>
              <w:rPr>
                <w:b/>
                <w:bCs/>
              </w:rPr>
            </w:pPr>
          </w:p>
        </w:tc>
        <w:tc>
          <w:tcPr>
            <w:tcW w:w="1440" w:type="dxa"/>
            <w:tcBorders>
              <w:top w:val="single" w:sz="4" w:space="0" w:color="auto"/>
              <w:left w:val="nil"/>
              <w:bottom w:val="single" w:sz="4" w:space="0" w:color="auto"/>
              <w:right w:val="single" w:sz="4" w:space="0" w:color="auto"/>
            </w:tcBorders>
          </w:tcPr>
          <w:p w:rsidR="0022223F" w:rsidRDefault="0022223F" w:rsidP="00D82B95">
            <w:pPr>
              <w:jc w:val="right"/>
              <w:rPr>
                <w:b/>
                <w:bCs/>
              </w:rPr>
            </w:pPr>
          </w:p>
        </w:tc>
        <w:tc>
          <w:tcPr>
            <w:tcW w:w="1260" w:type="dxa"/>
            <w:tcBorders>
              <w:top w:val="nil"/>
              <w:left w:val="single" w:sz="4" w:space="0" w:color="auto"/>
              <w:bottom w:val="single" w:sz="4" w:space="0" w:color="auto"/>
              <w:right w:val="single" w:sz="4" w:space="0" w:color="auto"/>
            </w:tcBorders>
          </w:tcPr>
          <w:p w:rsidR="0022223F" w:rsidRDefault="0022223F" w:rsidP="00D82B95">
            <w:pPr>
              <w:jc w:val="right"/>
              <w:rPr>
                <w:b/>
                <w:bCs/>
              </w:rPr>
            </w:pPr>
          </w:p>
        </w:tc>
        <w:tc>
          <w:tcPr>
            <w:tcW w:w="1980" w:type="dxa"/>
            <w:tcBorders>
              <w:top w:val="single" w:sz="4" w:space="0" w:color="auto"/>
              <w:left w:val="nil"/>
              <w:bottom w:val="single" w:sz="4" w:space="0" w:color="auto"/>
              <w:right w:val="single" w:sz="4" w:space="0" w:color="auto"/>
            </w:tcBorders>
          </w:tcPr>
          <w:p w:rsidR="0022223F" w:rsidRDefault="0022223F" w:rsidP="00D82B95">
            <w:pPr>
              <w:jc w:val="right"/>
              <w:rPr>
                <w:b/>
                <w:bCs/>
              </w:rPr>
            </w:pPr>
          </w:p>
        </w:tc>
      </w:tr>
    </w:tbl>
    <w:p w:rsidR="0022223F" w:rsidRDefault="0022223F" w:rsidP="009D3000">
      <w:pPr>
        <w:jc w:val="both"/>
        <w:rPr>
          <w:sz w:val="20"/>
          <w:szCs w:val="20"/>
        </w:rPr>
      </w:pPr>
    </w:p>
    <w:p w:rsidR="0022223F" w:rsidRPr="00E6646A" w:rsidRDefault="0022223F" w:rsidP="009D3000">
      <w:pPr>
        <w:pStyle w:val="BodyText3"/>
        <w:ind w:left="-180"/>
      </w:pPr>
    </w:p>
    <w:tbl>
      <w:tblPr>
        <w:tblW w:w="9725" w:type="dxa"/>
        <w:tblInd w:w="-106" w:type="dxa"/>
        <w:tblLayout w:type="fixed"/>
        <w:tblLook w:val="0000"/>
      </w:tblPr>
      <w:tblGrid>
        <w:gridCol w:w="3425"/>
        <w:gridCol w:w="1620"/>
        <w:gridCol w:w="1440"/>
        <w:gridCol w:w="1260"/>
        <w:gridCol w:w="1980"/>
      </w:tblGrid>
      <w:tr w:rsidR="0022223F" w:rsidRPr="00E04727">
        <w:trPr>
          <w:trHeight w:val="524"/>
        </w:trPr>
        <w:tc>
          <w:tcPr>
            <w:tcW w:w="3425" w:type="dxa"/>
            <w:tcBorders>
              <w:top w:val="single" w:sz="4" w:space="0" w:color="auto"/>
              <w:left w:val="single" w:sz="4" w:space="0" w:color="auto"/>
              <w:bottom w:val="single" w:sz="4" w:space="0" w:color="auto"/>
              <w:right w:val="single" w:sz="4" w:space="0" w:color="auto"/>
            </w:tcBorders>
            <w:noWrap/>
          </w:tcPr>
          <w:p w:rsidR="0022223F" w:rsidRDefault="0022223F" w:rsidP="00D82B95">
            <w:pPr>
              <w:rPr>
                <w:b/>
                <w:bCs/>
                <w:sz w:val="20"/>
                <w:szCs w:val="20"/>
              </w:rPr>
            </w:pPr>
            <w:r w:rsidRPr="00E04727">
              <w:rPr>
                <w:b/>
                <w:bCs/>
                <w:sz w:val="20"/>
                <w:szCs w:val="20"/>
              </w:rPr>
              <w:t>Housing Benefit</w:t>
            </w:r>
          </w:p>
          <w:p w:rsidR="0022223F" w:rsidRPr="00E04727" w:rsidRDefault="0022223F" w:rsidP="00D82B95">
            <w:pPr>
              <w:rPr>
                <w:b/>
                <w:bCs/>
                <w:sz w:val="20"/>
                <w:szCs w:val="20"/>
              </w:rPr>
            </w:pPr>
            <w:r>
              <w:rPr>
                <w:b/>
                <w:bCs/>
                <w:sz w:val="20"/>
                <w:szCs w:val="20"/>
              </w:rPr>
              <w:t>LIVE CASES</w:t>
            </w:r>
          </w:p>
        </w:tc>
        <w:tc>
          <w:tcPr>
            <w:tcW w:w="1620" w:type="dxa"/>
            <w:tcBorders>
              <w:top w:val="single" w:sz="4" w:space="0" w:color="auto"/>
              <w:left w:val="nil"/>
              <w:bottom w:val="single" w:sz="4" w:space="0" w:color="auto"/>
              <w:right w:val="nil"/>
            </w:tcBorders>
          </w:tcPr>
          <w:p w:rsidR="0022223F" w:rsidRPr="00E04727" w:rsidRDefault="0022223F" w:rsidP="00D82B95">
            <w:pPr>
              <w:jc w:val="center"/>
              <w:rPr>
                <w:sz w:val="20"/>
                <w:szCs w:val="20"/>
              </w:rPr>
            </w:pPr>
            <w:r>
              <w:rPr>
                <w:sz w:val="20"/>
                <w:szCs w:val="20"/>
              </w:rPr>
              <w:t>Outstand</w:t>
            </w:r>
            <w:r w:rsidRPr="00E04727">
              <w:rPr>
                <w:sz w:val="20"/>
                <w:szCs w:val="20"/>
              </w:rPr>
              <w:t xml:space="preserve"> as at 1</w:t>
            </w:r>
            <w:r w:rsidRPr="00E04727">
              <w:rPr>
                <w:sz w:val="20"/>
                <w:szCs w:val="20"/>
                <w:vertAlign w:val="superscript"/>
              </w:rPr>
              <w:t>st</w:t>
            </w:r>
            <w:r w:rsidRPr="00E04727">
              <w:rPr>
                <w:sz w:val="20"/>
                <w:szCs w:val="20"/>
              </w:rPr>
              <w:t xml:space="preserve"> of April</w:t>
            </w:r>
          </w:p>
        </w:tc>
        <w:tc>
          <w:tcPr>
            <w:tcW w:w="1440" w:type="dxa"/>
            <w:tcBorders>
              <w:top w:val="single" w:sz="4" w:space="0" w:color="auto"/>
              <w:left w:val="nil"/>
              <w:bottom w:val="single" w:sz="4" w:space="0" w:color="auto"/>
              <w:right w:val="single" w:sz="4" w:space="0" w:color="auto"/>
            </w:tcBorders>
          </w:tcPr>
          <w:p w:rsidR="0022223F" w:rsidRPr="00E04727" w:rsidRDefault="0022223F" w:rsidP="00D82B95">
            <w:pPr>
              <w:ind w:right="-108"/>
              <w:jc w:val="center"/>
              <w:rPr>
                <w:sz w:val="20"/>
                <w:szCs w:val="20"/>
              </w:rPr>
            </w:pPr>
            <w:r>
              <w:rPr>
                <w:sz w:val="20"/>
                <w:szCs w:val="20"/>
              </w:rPr>
              <w:t xml:space="preserve">Outstand </w:t>
            </w:r>
            <w:r w:rsidRPr="00E04727">
              <w:rPr>
                <w:sz w:val="20"/>
                <w:szCs w:val="20"/>
              </w:rPr>
              <w:t>as at Qtr</w:t>
            </w:r>
            <w:r>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22223F" w:rsidRPr="00E04727" w:rsidRDefault="0022223F" w:rsidP="00D82B95">
            <w:pPr>
              <w:jc w:val="center"/>
              <w:rPr>
                <w:sz w:val="20"/>
                <w:szCs w:val="20"/>
              </w:rPr>
            </w:pPr>
            <w:r w:rsidRPr="00E04727">
              <w:rPr>
                <w:sz w:val="20"/>
                <w:szCs w:val="20"/>
              </w:rPr>
              <w:t xml:space="preserve">BDP </w:t>
            </w:r>
          </w:p>
        </w:tc>
        <w:tc>
          <w:tcPr>
            <w:tcW w:w="1980" w:type="dxa"/>
            <w:tcBorders>
              <w:top w:val="single" w:sz="4" w:space="0" w:color="auto"/>
              <w:left w:val="single" w:sz="4" w:space="0" w:color="auto"/>
              <w:bottom w:val="single" w:sz="4" w:space="0" w:color="auto"/>
              <w:right w:val="single" w:sz="4" w:space="0" w:color="auto"/>
            </w:tcBorders>
          </w:tcPr>
          <w:p w:rsidR="0022223F" w:rsidRPr="00E04727" w:rsidRDefault="0022223F" w:rsidP="00D82B95">
            <w:pPr>
              <w:jc w:val="center"/>
              <w:rPr>
                <w:sz w:val="20"/>
                <w:szCs w:val="20"/>
              </w:rPr>
            </w:pPr>
            <w:r w:rsidRPr="00E04727">
              <w:rPr>
                <w:b/>
                <w:bCs/>
                <w:sz w:val="20"/>
                <w:szCs w:val="20"/>
              </w:rPr>
              <w:t>BDP as at Qtr</w:t>
            </w:r>
            <w:r>
              <w:rPr>
                <w:b/>
                <w:bCs/>
                <w:sz w:val="20"/>
                <w:szCs w:val="20"/>
              </w:rPr>
              <w:t>2</w:t>
            </w:r>
          </w:p>
        </w:tc>
      </w:tr>
      <w:tr w:rsidR="0022223F">
        <w:trPr>
          <w:trHeight w:val="170"/>
        </w:trPr>
        <w:tc>
          <w:tcPr>
            <w:tcW w:w="3425" w:type="dxa"/>
            <w:tcBorders>
              <w:top w:val="nil"/>
              <w:left w:val="single" w:sz="4" w:space="0" w:color="auto"/>
              <w:bottom w:val="single" w:sz="4" w:space="0" w:color="auto"/>
              <w:right w:val="single" w:sz="4" w:space="0" w:color="auto"/>
            </w:tcBorders>
            <w:noWrap/>
            <w:vAlign w:val="bottom"/>
          </w:tcPr>
          <w:p w:rsidR="0022223F" w:rsidRDefault="0022223F" w:rsidP="00D82B95"/>
        </w:tc>
        <w:tc>
          <w:tcPr>
            <w:tcW w:w="1620" w:type="dxa"/>
            <w:tcBorders>
              <w:top w:val="nil"/>
              <w:left w:val="nil"/>
              <w:bottom w:val="single" w:sz="4" w:space="0" w:color="auto"/>
              <w:right w:val="nil"/>
            </w:tcBorders>
            <w:vAlign w:val="bottom"/>
          </w:tcPr>
          <w:p w:rsidR="0022223F" w:rsidRDefault="0022223F" w:rsidP="00D82B95">
            <w:pPr>
              <w:jc w:val="center"/>
            </w:pPr>
            <w:r>
              <w:t>£000</w:t>
            </w:r>
          </w:p>
        </w:tc>
        <w:tc>
          <w:tcPr>
            <w:tcW w:w="1440" w:type="dxa"/>
            <w:tcBorders>
              <w:top w:val="single" w:sz="4" w:space="0" w:color="auto"/>
              <w:left w:val="nil"/>
              <w:bottom w:val="single" w:sz="4" w:space="0" w:color="auto"/>
              <w:right w:val="single" w:sz="4" w:space="0" w:color="auto"/>
            </w:tcBorders>
            <w:vAlign w:val="bottom"/>
          </w:tcPr>
          <w:p w:rsidR="0022223F" w:rsidRDefault="0022223F" w:rsidP="00D82B95">
            <w:pPr>
              <w:jc w:val="center"/>
            </w:pPr>
            <w:r>
              <w:t>£000</w:t>
            </w:r>
          </w:p>
        </w:tc>
        <w:tc>
          <w:tcPr>
            <w:tcW w:w="1260" w:type="dxa"/>
            <w:tcBorders>
              <w:top w:val="nil"/>
              <w:left w:val="single" w:sz="4" w:space="0" w:color="auto"/>
              <w:bottom w:val="single" w:sz="4" w:space="0" w:color="auto"/>
              <w:right w:val="single" w:sz="4" w:space="0" w:color="auto"/>
            </w:tcBorders>
            <w:vAlign w:val="bottom"/>
          </w:tcPr>
          <w:p w:rsidR="0022223F" w:rsidRDefault="0022223F" w:rsidP="00D82B95">
            <w:pPr>
              <w:jc w:val="center"/>
            </w:pPr>
            <w:r>
              <w:t>%</w:t>
            </w:r>
          </w:p>
        </w:tc>
        <w:tc>
          <w:tcPr>
            <w:tcW w:w="1980" w:type="dxa"/>
            <w:tcBorders>
              <w:top w:val="single" w:sz="4" w:space="0" w:color="auto"/>
              <w:left w:val="nil"/>
              <w:bottom w:val="single" w:sz="4" w:space="0" w:color="auto"/>
              <w:right w:val="single" w:sz="4" w:space="0" w:color="auto"/>
            </w:tcBorders>
            <w:vAlign w:val="bottom"/>
          </w:tcPr>
          <w:p w:rsidR="0022223F" w:rsidRDefault="0022223F" w:rsidP="00D82B95">
            <w:pPr>
              <w:jc w:val="center"/>
            </w:pPr>
            <w:r>
              <w:t>£000</w:t>
            </w:r>
          </w:p>
        </w:tc>
      </w:tr>
      <w:tr w:rsidR="0022223F">
        <w:trPr>
          <w:trHeight w:val="170"/>
        </w:trPr>
        <w:tc>
          <w:tcPr>
            <w:tcW w:w="3425" w:type="dxa"/>
            <w:tcBorders>
              <w:top w:val="nil"/>
              <w:left w:val="single" w:sz="4" w:space="0" w:color="auto"/>
              <w:bottom w:val="single" w:sz="4" w:space="0" w:color="auto"/>
              <w:right w:val="single" w:sz="4" w:space="0" w:color="auto"/>
            </w:tcBorders>
            <w:noWrap/>
            <w:vAlign w:val="bottom"/>
          </w:tcPr>
          <w:p w:rsidR="0022223F" w:rsidRDefault="0022223F" w:rsidP="00D82B95">
            <w:r>
              <w:t>Pre 2012-2013</w:t>
            </w:r>
          </w:p>
        </w:tc>
        <w:tc>
          <w:tcPr>
            <w:tcW w:w="1620" w:type="dxa"/>
            <w:tcBorders>
              <w:top w:val="nil"/>
              <w:left w:val="nil"/>
              <w:bottom w:val="single" w:sz="4" w:space="0" w:color="auto"/>
              <w:right w:val="nil"/>
            </w:tcBorders>
            <w:shd w:val="clear" w:color="auto" w:fill="C0C0C0"/>
          </w:tcPr>
          <w:p w:rsidR="0022223F" w:rsidRDefault="0022223F" w:rsidP="00D82B95">
            <w:pPr>
              <w:jc w:val="right"/>
            </w:pPr>
            <w:r>
              <w:t>413</w:t>
            </w:r>
          </w:p>
        </w:tc>
        <w:tc>
          <w:tcPr>
            <w:tcW w:w="1440" w:type="dxa"/>
            <w:tcBorders>
              <w:top w:val="single" w:sz="4" w:space="0" w:color="auto"/>
              <w:left w:val="nil"/>
              <w:bottom w:val="single" w:sz="4" w:space="0" w:color="auto"/>
              <w:right w:val="single" w:sz="4" w:space="0" w:color="auto"/>
            </w:tcBorders>
          </w:tcPr>
          <w:p w:rsidR="0022223F" w:rsidRDefault="0022223F" w:rsidP="00D82B95">
            <w:pPr>
              <w:jc w:val="right"/>
            </w:pPr>
            <w:r>
              <w:t>290</w:t>
            </w:r>
          </w:p>
        </w:tc>
        <w:tc>
          <w:tcPr>
            <w:tcW w:w="1260" w:type="dxa"/>
            <w:tcBorders>
              <w:top w:val="nil"/>
              <w:left w:val="single" w:sz="4" w:space="0" w:color="auto"/>
              <w:bottom w:val="single" w:sz="4" w:space="0" w:color="auto"/>
              <w:right w:val="single" w:sz="4" w:space="0" w:color="auto"/>
            </w:tcBorders>
          </w:tcPr>
          <w:p w:rsidR="0022223F" w:rsidRDefault="0022223F" w:rsidP="00D82B95">
            <w:pPr>
              <w:jc w:val="right"/>
            </w:pPr>
            <w:r>
              <w:t>100</w:t>
            </w:r>
          </w:p>
        </w:tc>
        <w:tc>
          <w:tcPr>
            <w:tcW w:w="1980" w:type="dxa"/>
            <w:tcBorders>
              <w:top w:val="single" w:sz="4" w:space="0" w:color="auto"/>
              <w:left w:val="nil"/>
              <w:bottom w:val="single" w:sz="4" w:space="0" w:color="auto"/>
              <w:right w:val="single" w:sz="4" w:space="0" w:color="auto"/>
            </w:tcBorders>
          </w:tcPr>
          <w:p w:rsidR="0022223F" w:rsidRDefault="0022223F" w:rsidP="00D82B95">
            <w:pPr>
              <w:jc w:val="right"/>
            </w:pPr>
            <w:r>
              <w:t>290</w:t>
            </w:r>
          </w:p>
        </w:tc>
      </w:tr>
      <w:tr w:rsidR="0022223F">
        <w:trPr>
          <w:trHeight w:val="255"/>
        </w:trPr>
        <w:tc>
          <w:tcPr>
            <w:tcW w:w="3425" w:type="dxa"/>
            <w:tcBorders>
              <w:top w:val="nil"/>
              <w:left w:val="single" w:sz="4" w:space="0" w:color="auto"/>
              <w:bottom w:val="single" w:sz="4" w:space="0" w:color="auto"/>
              <w:right w:val="single" w:sz="4" w:space="0" w:color="auto"/>
            </w:tcBorders>
            <w:noWrap/>
            <w:vAlign w:val="bottom"/>
          </w:tcPr>
          <w:p w:rsidR="0022223F" w:rsidRDefault="0022223F" w:rsidP="00D82B95">
            <w:r>
              <w:t xml:space="preserve">2012-2013 </w:t>
            </w:r>
          </w:p>
        </w:tc>
        <w:tc>
          <w:tcPr>
            <w:tcW w:w="1620" w:type="dxa"/>
            <w:tcBorders>
              <w:top w:val="nil"/>
              <w:left w:val="nil"/>
              <w:bottom w:val="single" w:sz="4" w:space="0" w:color="auto"/>
              <w:right w:val="nil"/>
            </w:tcBorders>
            <w:shd w:val="clear" w:color="auto" w:fill="C0C0C0"/>
          </w:tcPr>
          <w:p w:rsidR="0022223F" w:rsidRDefault="0022223F" w:rsidP="00D82B95">
            <w:pPr>
              <w:jc w:val="right"/>
            </w:pPr>
            <w:r>
              <w:t>596</w:t>
            </w:r>
          </w:p>
        </w:tc>
        <w:tc>
          <w:tcPr>
            <w:tcW w:w="1440" w:type="dxa"/>
            <w:tcBorders>
              <w:top w:val="single" w:sz="4" w:space="0" w:color="auto"/>
              <w:left w:val="nil"/>
              <w:bottom w:val="single" w:sz="4" w:space="0" w:color="auto"/>
              <w:right w:val="single" w:sz="4" w:space="0" w:color="auto"/>
            </w:tcBorders>
          </w:tcPr>
          <w:p w:rsidR="0022223F" w:rsidRDefault="0022223F" w:rsidP="00D82B95">
            <w:pPr>
              <w:jc w:val="right"/>
            </w:pPr>
            <w:r>
              <w:t>397</w:t>
            </w:r>
          </w:p>
        </w:tc>
        <w:tc>
          <w:tcPr>
            <w:tcW w:w="1260" w:type="dxa"/>
            <w:tcBorders>
              <w:top w:val="nil"/>
              <w:left w:val="single" w:sz="4" w:space="0" w:color="auto"/>
              <w:bottom w:val="single" w:sz="4" w:space="0" w:color="auto"/>
              <w:right w:val="single" w:sz="4" w:space="0" w:color="auto"/>
            </w:tcBorders>
          </w:tcPr>
          <w:p w:rsidR="0022223F" w:rsidRDefault="0022223F" w:rsidP="00D82B95">
            <w:pPr>
              <w:jc w:val="right"/>
            </w:pPr>
            <w:r>
              <w:t>75</w:t>
            </w:r>
          </w:p>
        </w:tc>
        <w:tc>
          <w:tcPr>
            <w:tcW w:w="1980" w:type="dxa"/>
            <w:tcBorders>
              <w:top w:val="single" w:sz="4" w:space="0" w:color="auto"/>
              <w:left w:val="nil"/>
              <w:bottom w:val="single" w:sz="4" w:space="0" w:color="auto"/>
              <w:right w:val="single" w:sz="4" w:space="0" w:color="auto"/>
            </w:tcBorders>
          </w:tcPr>
          <w:p w:rsidR="0022223F" w:rsidRDefault="0022223F" w:rsidP="00D82B95">
            <w:pPr>
              <w:jc w:val="right"/>
            </w:pPr>
            <w:r>
              <w:t>298</w:t>
            </w:r>
          </w:p>
        </w:tc>
      </w:tr>
      <w:tr w:rsidR="0022223F">
        <w:trPr>
          <w:trHeight w:val="255"/>
        </w:trPr>
        <w:tc>
          <w:tcPr>
            <w:tcW w:w="3425" w:type="dxa"/>
            <w:tcBorders>
              <w:top w:val="nil"/>
              <w:left w:val="single" w:sz="4" w:space="0" w:color="auto"/>
              <w:bottom w:val="single" w:sz="4" w:space="0" w:color="auto"/>
              <w:right w:val="single" w:sz="4" w:space="0" w:color="auto"/>
            </w:tcBorders>
            <w:noWrap/>
            <w:vAlign w:val="bottom"/>
          </w:tcPr>
          <w:p w:rsidR="0022223F" w:rsidRDefault="0022223F" w:rsidP="00D82B95">
            <w:r>
              <w:t>2013-2014</w:t>
            </w:r>
          </w:p>
        </w:tc>
        <w:tc>
          <w:tcPr>
            <w:tcW w:w="1620" w:type="dxa"/>
            <w:tcBorders>
              <w:top w:val="nil"/>
              <w:left w:val="nil"/>
              <w:bottom w:val="single" w:sz="4" w:space="0" w:color="auto"/>
              <w:right w:val="nil"/>
            </w:tcBorders>
            <w:shd w:val="clear" w:color="auto" w:fill="C0C0C0"/>
          </w:tcPr>
          <w:p w:rsidR="0022223F" w:rsidRDefault="0022223F" w:rsidP="00D82B95">
            <w:pPr>
              <w:jc w:val="right"/>
            </w:pPr>
            <w:r>
              <w:t>1,395</w:t>
            </w:r>
          </w:p>
        </w:tc>
        <w:tc>
          <w:tcPr>
            <w:tcW w:w="1440" w:type="dxa"/>
            <w:tcBorders>
              <w:top w:val="single" w:sz="4" w:space="0" w:color="auto"/>
              <w:left w:val="nil"/>
              <w:bottom w:val="single" w:sz="4" w:space="0" w:color="auto"/>
              <w:right w:val="single" w:sz="4" w:space="0" w:color="auto"/>
            </w:tcBorders>
          </w:tcPr>
          <w:p w:rsidR="0022223F" w:rsidRDefault="0022223F" w:rsidP="00D82B95">
            <w:pPr>
              <w:jc w:val="right"/>
            </w:pPr>
            <w:r>
              <w:t>796</w:t>
            </w:r>
          </w:p>
        </w:tc>
        <w:tc>
          <w:tcPr>
            <w:tcW w:w="1260" w:type="dxa"/>
            <w:tcBorders>
              <w:top w:val="nil"/>
              <w:left w:val="single" w:sz="4" w:space="0" w:color="auto"/>
              <w:bottom w:val="single" w:sz="4" w:space="0" w:color="auto"/>
              <w:right w:val="single" w:sz="4" w:space="0" w:color="auto"/>
            </w:tcBorders>
          </w:tcPr>
          <w:p w:rsidR="0022223F" w:rsidRDefault="0022223F" w:rsidP="00D82B95">
            <w:pPr>
              <w:jc w:val="right"/>
            </w:pPr>
            <w:r>
              <w:t>50</w:t>
            </w:r>
          </w:p>
        </w:tc>
        <w:tc>
          <w:tcPr>
            <w:tcW w:w="1980" w:type="dxa"/>
            <w:tcBorders>
              <w:top w:val="single" w:sz="4" w:space="0" w:color="auto"/>
              <w:left w:val="nil"/>
              <w:bottom w:val="single" w:sz="4" w:space="0" w:color="auto"/>
              <w:right w:val="single" w:sz="4" w:space="0" w:color="auto"/>
            </w:tcBorders>
          </w:tcPr>
          <w:p w:rsidR="0022223F" w:rsidRDefault="0022223F" w:rsidP="00D82B95">
            <w:pPr>
              <w:jc w:val="right"/>
            </w:pPr>
            <w:r>
              <w:t>398</w:t>
            </w:r>
          </w:p>
        </w:tc>
      </w:tr>
      <w:tr w:rsidR="0022223F">
        <w:trPr>
          <w:trHeight w:val="255"/>
        </w:trPr>
        <w:tc>
          <w:tcPr>
            <w:tcW w:w="3425" w:type="dxa"/>
            <w:tcBorders>
              <w:top w:val="nil"/>
              <w:left w:val="single" w:sz="4" w:space="0" w:color="auto"/>
              <w:bottom w:val="single" w:sz="4" w:space="0" w:color="auto"/>
              <w:right w:val="single" w:sz="4" w:space="0" w:color="auto"/>
            </w:tcBorders>
            <w:noWrap/>
            <w:vAlign w:val="bottom"/>
          </w:tcPr>
          <w:p w:rsidR="0022223F" w:rsidRDefault="0022223F" w:rsidP="00D82B95">
            <w:r>
              <w:t>2014-2015</w:t>
            </w:r>
          </w:p>
        </w:tc>
        <w:tc>
          <w:tcPr>
            <w:tcW w:w="1620" w:type="dxa"/>
            <w:tcBorders>
              <w:top w:val="nil"/>
              <w:left w:val="nil"/>
              <w:bottom w:val="single" w:sz="4" w:space="0" w:color="auto"/>
              <w:right w:val="nil"/>
            </w:tcBorders>
            <w:shd w:val="clear" w:color="auto" w:fill="C0C0C0"/>
          </w:tcPr>
          <w:p w:rsidR="0022223F" w:rsidRDefault="0022223F" w:rsidP="00D82B95">
            <w:pPr>
              <w:jc w:val="right"/>
            </w:pPr>
            <w:r>
              <w:t>0</w:t>
            </w:r>
          </w:p>
        </w:tc>
        <w:tc>
          <w:tcPr>
            <w:tcW w:w="1440" w:type="dxa"/>
            <w:tcBorders>
              <w:top w:val="single" w:sz="4" w:space="0" w:color="auto"/>
              <w:left w:val="nil"/>
              <w:bottom w:val="single" w:sz="4" w:space="0" w:color="auto"/>
              <w:right w:val="single" w:sz="4" w:space="0" w:color="auto"/>
            </w:tcBorders>
          </w:tcPr>
          <w:p w:rsidR="0022223F" w:rsidRDefault="0022223F" w:rsidP="00D82B95">
            <w:pPr>
              <w:jc w:val="right"/>
            </w:pPr>
            <w:r>
              <w:t>1,064</w:t>
            </w:r>
          </w:p>
        </w:tc>
        <w:tc>
          <w:tcPr>
            <w:tcW w:w="1260" w:type="dxa"/>
            <w:tcBorders>
              <w:top w:val="nil"/>
              <w:left w:val="single" w:sz="4" w:space="0" w:color="auto"/>
              <w:bottom w:val="single" w:sz="4" w:space="0" w:color="auto"/>
              <w:right w:val="single" w:sz="4" w:space="0" w:color="auto"/>
            </w:tcBorders>
          </w:tcPr>
          <w:p w:rsidR="0022223F" w:rsidRDefault="0022223F" w:rsidP="00D82B95">
            <w:pPr>
              <w:jc w:val="right"/>
            </w:pPr>
            <w:r>
              <w:t>30</w:t>
            </w:r>
          </w:p>
        </w:tc>
        <w:tc>
          <w:tcPr>
            <w:tcW w:w="1980" w:type="dxa"/>
            <w:tcBorders>
              <w:top w:val="single" w:sz="4" w:space="0" w:color="auto"/>
              <w:left w:val="nil"/>
              <w:bottom w:val="single" w:sz="4" w:space="0" w:color="auto"/>
              <w:right w:val="single" w:sz="4" w:space="0" w:color="auto"/>
            </w:tcBorders>
          </w:tcPr>
          <w:p w:rsidR="0022223F" w:rsidRDefault="0022223F" w:rsidP="00D82B95">
            <w:pPr>
              <w:jc w:val="right"/>
            </w:pPr>
            <w:r>
              <w:t>320</w:t>
            </w:r>
          </w:p>
        </w:tc>
      </w:tr>
      <w:tr w:rsidR="0022223F">
        <w:trPr>
          <w:trHeight w:val="255"/>
        </w:trPr>
        <w:tc>
          <w:tcPr>
            <w:tcW w:w="3425" w:type="dxa"/>
            <w:tcBorders>
              <w:top w:val="nil"/>
              <w:left w:val="single" w:sz="4" w:space="0" w:color="auto"/>
              <w:bottom w:val="single" w:sz="4" w:space="0" w:color="auto"/>
              <w:right w:val="single" w:sz="4" w:space="0" w:color="auto"/>
            </w:tcBorders>
            <w:noWrap/>
          </w:tcPr>
          <w:p w:rsidR="0022223F" w:rsidRDefault="0022223F" w:rsidP="00D82B95">
            <w:r>
              <w:rPr>
                <w:b/>
                <w:bCs/>
              </w:rPr>
              <w:t>Totals</w:t>
            </w:r>
          </w:p>
        </w:tc>
        <w:tc>
          <w:tcPr>
            <w:tcW w:w="1620" w:type="dxa"/>
            <w:tcBorders>
              <w:top w:val="nil"/>
              <w:left w:val="nil"/>
              <w:bottom w:val="single" w:sz="4" w:space="0" w:color="auto"/>
              <w:right w:val="nil"/>
            </w:tcBorders>
            <w:shd w:val="clear" w:color="auto" w:fill="C0C0C0"/>
          </w:tcPr>
          <w:p w:rsidR="0022223F" w:rsidRDefault="0022223F" w:rsidP="00D82B95">
            <w:pPr>
              <w:jc w:val="right"/>
            </w:pPr>
            <w:r>
              <w:rPr>
                <w:b/>
                <w:bCs/>
              </w:rPr>
              <w:t>2,404</w:t>
            </w:r>
          </w:p>
        </w:tc>
        <w:tc>
          <w:tcPr>
            <w:tcW w:w="1440" w:type="dxa"/>
            <w:tcBorders>
              <w:top w:val="single" w:sz="4" w:space="0" w:color="auto"/>
              <w:left w:val="nil"/>
              <w:bottom w:val="single" w:sz="4" w:space="0" w:color="auto"/>
              <w:right w:val="single" w:sz="4" w:space="0" w:color="auto"/>
            </w:tcBorders>
          </w:tcPr>
          <w:p w:rsidR="0022223F" w:rsidRDefault="0022223F" w:rsidP="00D82B95">
            <w:pPr>
              <w:jc w:val="right"/>
            </w:pPr>
            <w:r>
              <w:rPr>
                <w:b/>
                <w:bCs/>
              </w:rPr>
              <w:t>2,547</w:t>
            </w:r>
          </w:p>
        </w:tc>
        <w:tc>
          <w:tcPr>
            <w:tcW w:w="1260" w:type="dxa"/>
            <w:tcBorders>
              <w:top w:val="nil"/>
              <w:left w:val="single" w:sz="4" w:space="0" w:color="auto"/>
              <w:bottom w:val="single" w:sz="4" w:space="0" w:color="auto"/>
              <w:right w:val="single" w:sz="4" w:space="0" w:color="auto"/>
            </w:tcBorders>
          </w:tcPr>
          <w:p w:rsidR="0022223F" w:rsidRDefault="0022223F" w:rsidP="00D82B95">
            <w:pPr>
              <w:jc w:val="right"/>
            </w:pPr>
          </w:p>
        </w:tc>
        <w:tc>
          <w:tcPr>
            <w:tcW w:w="1980" w:type="dxa"/>
            <w:tcBorders>
              <w:top w:val="single" w:sz="4" w:space="0" w:color="auto"/>
              <w:left w:val="nil"/>
              <w:bottom w:val="single" w:sz="4" w:space="0" w:color="auto"/>
              <w:right w:val="single" w:sz="4" w:space="0" w:color="auto"/>
            </w:tcBorders>
          </w:tcPr>
          <w:p w:rsidR="0022223F" w:rsidRDefault="0022223F" w:rsidP="00D82B95">
            <w:pPr>
              <w:jc w:val="right"/>
            </w:pPr>
            <w:r>
              <w:rPr>
                <w:b/>
                <w:bCs/>
              </w:rPr>
              <w:t>1,306</w:t>
            </w:r>
          </w:p>
        </w:tc>
      </w:tr>
      <w:tr w:rsidR="0022223F">
        <w:trPr>
          <w:trHeight w:val="255"/>
        </w:trPr>
        <w:tc>
          <w:tcPr>
            <w:tcW w:w="3425" w:type="dxa"/>
            <w:tcBorders>
              <w:top w:val="nil"/>
              <w:left w:val="single" w:sz="4" w:space="0" w:color="auto"/>
              <w:bottom w:val="single" w:sz="4" w:space="0" w:color="auto"/>
              <w:right w:val="single" w:sz="4" w:space="0" w:color="auto"/>
            </w:tcBorders>
            <w:noWrap/>
          </w:tcPr>
          <w:p w:rsidR="0022223F" w:rsidRDefault="0022223F" w:rsidP="00D82B95">
            <w:pPr>
              <w:rPr>
                <w:b/>
                <w:bCs/>
              </w:rPr>
            </w:pPr>
          </w:p>
        </w:tc>
        <w:tc>
          <w:tcPr>
            <w:tcW w:w="1620" w:type="dxa"/>
            <w:tcBorders>
              <w:top w:val="nil"/>
              <w:left w:val="nil"/>
              <w:bottom w:val="single" w:sz="4" w:space="0" w:color="auto"/>
              <w:right w:val="nil"/>
            </w:tcBorders>
            <w:shd w:val="clear" w:color="auto" w:fill="C0C0C0"/>
          </w:tcPr>
          <w:p w:rsidR="0022223F" w:rsidRDefault="0022223F" w:rsidP="00D82B95">
            <w:pPr>
              <w:jc w:val="right"/>
              <w:rPr>
                <w:b/>
                <w:bCs/>
              </w:rPr>
            </w:pPr>
          </w:p>
        </w:tc>
        <w:tc>
          <w:tcPr>
            <w:tcW w:w="1440" w:type="dxa"/>
            <w:tcBorders>
              <w:top w:val="single" w:sz="4" w:space="0" w:color="auto"/>
              <w:left w:val="nil"/>
              <w:bottom w:val="single" w:sz="4" w:space="0" w:color="auto"/>
              <w:right w:val="single" w:sz="4" w:space="0" w:color="auto"/>
            </w:tcBorders>
          </w:tcPr>
          <w:p w:rsidR="0022223F" w:rsidRDefault="0022223F" w:rsidP="00D82B95">
            <w:pPr>
              <w:jc w:val="right"/>
              <w:rPr>
                <w:b/>
                <w:bCs/>
              </w:rPr>
            </w:pPr>
          </w:p>
        </w:tc>
        <w:tc>
          <w:tcPr>
            <w:tcW w:w="1260" w:type="dxa"/>
            <w:tcBorders>
              <w:top w:val="nil"/>
              <w:left w:val="single" w:sz="4" w:space="0" w:color="auto"/>
              <w:bottom w:val="single" w:sz="4" w:space="0" w:color="auto"/>
              <w:right w:val="single" w:sz="4" w:space="0" w:color="auto"/>
            </w:tcBorders>
          </w:tcPr>
          <w:p w:rsidR="0022223F" w:rsidRDefault="0022223F" w:rsidP="00D82B95">
            <w:pPr>
              <w:jc w:val="right"/>
              <w:rPr>
                <w:b/>
                <w:bCs/>
              </w:rPr>
            </w:pPr>
          </w:p>
        </w:tc>
        <w:tc>
          <w:tcPr>
            <w:tcW w:w="1980" w:type="dxa"/>
            <w:tcBorders>
              <w:top w:val="single" w:sz="4" w:space="0" w:color="auto"/>
              <w:left w:val="nil"/>
              <w:bottom w:val="single" w:sz="4" w:space="0" w:color="auto"/>
              <w:right w:val="single" w:sz="4" w:space="0" w:color="auto"/>
            </w:tcBorders>
          </w:tcPr>
          <w:p w:rsidR="0022223F" w:rsidRDefault="0022223F" w:rsidP="00D82B95">
            <w:pPr>
              <w:jc w:val="right"/>
              <w:rPr>
                <w:b/>
                <w:bCs/>
              </w:rPr>
            </w:pPr>
          </w:p>
        </w:tc>
      </w:tr>
    </w:tbl>
    <w:p w:rsidR="0022223F" w:rsidRDefault="0022223F" w:rsidP="009D3000"/>
    <w:p w:rsidR="0022223F" w:rsidRDefault="0022223F" w:rsidP="009D3000"/>
    <w:p w:rsidR="0022223F" w:rsidRPr="000B46E1" w:rsidRDefault="0022223F" w:rsidP="000B46E1">
      <w:pPr>
        <w:rPr>
          <w:rFonts w:ascii="Times New Roman" w:hAnsi="Times New Roman" w:cs="Times New Roman"/>
        </w:rPr>
      </w:pPr>
    </w:p>
    <w:sectPr w:rsidR="0022223F" w:rsidRPr="000B46E1" w:rsidSect="009D3000">
      <w:pgSz w:w="11909" w:h="16834" w:code="9"/>
      <w:pgMar w:top="720" w:right="1440" w:bottom="1152" w:left="987"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23F" w:rsidRDefault="0022223F">
      <w:r>
        <w:separator/>
      </w:r>
    </w:p>
  </w:endnote>
  <w:endnote w:type="continuationSeparator" w:id="1">
    <w:p w:rsidR="0022223F" w:rsidRDefault="002222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23F" w:rsidRDefault="0022223F">
    <w:pPr>
      <w:pStyle w:val="Footer"/>
      <w:jc w:val="center"/>
    </w:pPr>
    <w:fldSimple w:instr=" PAGE   \* MERGEFORMAT ">
      <w:r>
        <w:rPr>
          <w:noProof/>
        </w:rPr>
        <w:t>18</w:t>
      </w:r>
    </w:fldSimple>
  </w:p>
  <w:p w:rsidR="0022223F" w:rsidRDefault="0022223F" w:rsidP="008C69F5">
    <w:pPr>
      <w:pStyle w:val="Footer"/>
      <w:tabs>
        <w:tab w:val="clear" w:pos="4153"/>
        <w:tab w:val="clear" w:pos="8306"/>
      </w:tabs>
      <w:ind w:right="81"/>
      <w:jc w:val="right"/>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23F" w:rsidRPr="008C69F5" w:rsidRDefault="0022223F" w:rsidP="008C69F5">
    <w:pPr>
      <w:pStyle w:val="Footer"/>
      <w:jc w:val="right"/>
      <w:rPr>
        <w:sz w:val="16"/>
        <w:szCs w:val="16"/>
      </w:rPr>
    </w:pPr>
    <w:r w:rsidRPr="00C82E4C">
      <w:rPr>
        <w:sz w:val="16"/>
        <w:szCs w:val="16"/>
      </w:rPr>
      <w:fldChar w:fldCharType="begin"/>
    </w:r>
    <w:r w:rsidRPr="00C82E4C">
      <w:rPr>
        <w:sz w:val="16"/>
        <w:szCs w:val="16"/>
      </w:rPr>
      <w:instrText xml:space="preserve"> FILENAME \p </w:instrText>
    </w:r>
    <w:r w:rsidRPr="00C82E4C">
      <w:rPr>
        <w:sz w:val="16"/>
        <w:szCs w:val="16"/>
      </w:rPr>
      <w:fldChar w:fldCharType="separate"/>
    </w:r>
    <w:r>
      <w:rPr>
        <w:noProof/>
        <w:sz w:val="16"/>
        <w:szCs w:val="16"/>
      </w:rPr>
      <w:t>G:\1 Public\Budget Monitoring\2014-2015\Period 6\Cabinet\Final Cabinet submission\Final Cabinet Report Dec 14 Q2 Monitoring V1 271114.docx</w:t>
    </w:r>
    <w:r w:rsidRPr="00C82E4C">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23F" w:rsidRDefault="0022223F">
      <w:r>
        <w:separator/>
      </w:r>
    </w:p>
  </w:footnote>
  <w:footnote w:type="continuationSeparator" w:id="1">
    <w:p w:rsidR="0022223F" w:rsidRDefault="002222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71384"/>
    <w:multiLevelType w:val="hybridMultilevel"/>
    <w:tmpl w:val="BDB20462"/>
    <w:lvl w:ilvl="0" w:tplc="5F0EFEE0">
      <w:start w:val="1"/>
      <w:numFmt w:val="decimal"/>
      <w:lvlText w:val="%1."/>
      <w:lvlJc w:val="left"/>
      <w:pPr>
        <w:ind w:left="720" w:hanging="360"/>
      </w:pPr>
      <w:rPr>
        <w:rFonts w:hint="default"/>
        <w:b w:val="0"/>
        <w:bCs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D011386"/>
    <w:multiLevelType w:val="hybridMultilevel"/>
    <w:tmpl w:val="79E48B4A"/>
    <w:lvl w:ilvl="0" w:tplc="918AD572">
      <w:start w:val="1"/>
      <w:numFmt w:val="bullet"/>
      <w:lvlText w:val=""/>
      <w:lvlJc w:val="left"/>
      <w:pPr>
        <w:tabs>
          <w:tab w:val="num" w:pos="1800"/>
        </w:tabs>
        <w:ind w:left="1800" w:hanging="360"/>
      </w:pPr>
      <w:rPr>
        <w:rFonts w:ascii="Symbol" w:hAnsi="Symbol" w:cs="Symbol" w:hint="default"/>
        <w:b w:val="0"/>
        <w:bCs w:val="0"/>
        <w:i w:val="0"/>
        <w:iCs w:val="0"/>
      </w:rPr>
    </w:lvl>
    <w:lvl w:ilvl="1" w:tplc="04090019">
      <w:start w:val="1"/>
      <w:numFmt w:val="lowerLetter"/>
      <w:lvlText w:val="%2."/>
      <w:lvlJc w:val="left"/>
      <w:pPr>
        <w:tabs>
          <w:tab w:val="num" w:pos="2506"/>
        </w:tabs>
        <w:ind w:left="2506" w:hanging="360"/>
      </w:pPr>
    </w:lvl>
    <w:lvl w:ilvl="2" w:tplc="0409001B">
      <w:start w:val="1"/>
      <w:numFmt w:val="lowerRoman"/>
      <w:lvlText w:val="%3."/>
      <w:lvlJc w:val="right"/>
      <w:pPr>
        <w:tabs>
          <w:tab w:val="num" w:pos="3226"/>
        </w:tabs>
        <w:ind w:left="3226" w:hanging="180"/>
      </w:pPr>
    </w:lvl>
    <w:lvl w:ilvl="3" w:tplc="0409000F">
      <w:start w:val="1"/>
      <w:numFmt w:val="decimal"/>
      <w:lvlText w:val="%4."/>
      <w:lvlJc w:val="left"/>
      <w:pPr>
        <w:tabs>
          <w:tab w:val="num" w:pos="3946"/>
        </w:tabs>
        <w:ind w:left="3946" w:hanging="360"/>
      </w:pPr>
    </w:lvl>
    <w:lvl w:ilvl="4" w:tplc="04090019">
      <w:start w:val="1"/>
      <w:numFmt w:val="lowerLetter"/>
      <w:lvlText w:val="%5."/>
      <w:lvlJc w:val="left"/>
      <w:pPr>
        <w:tabs>
          <w:tab w:val="num" w:pos="4666"/>
        </w:tabs>
        <w:ind w:left="4666" w:hanging="360"/>
      </w:pPr>
    </w:lvl>
    <w:lvl w:ilvl="5" w:tplc="0409001B">
      <w:start w:val="1"/>
      <w:numFmt w:val="lowerRoman"/>
      <w:lvlText w:val="%6."/>
      <w:lvlJc w:val="right"/>
      <w:pPr>
        <w:tabs>
          <w:tab w:val="num" w:pos="5386"/>
        </w:tabs>
        <w:ind w:left="5386" w:hanging="180"/>
      </w:pPr>
    </w:lvl>
    <w:lvl w:ilvl="6" w:tplc="0409000F">
      <w:start w:val="1"/>
      <w:numFmt w:val="decimal"/>
      <w:lvlText w:val="%7."/>
      <w:lvlJc w:val="left"/>
      <w:pPr>
        <w:tabs>
          <w:tab w:val="num" w:pos="6106"/>
        </w:tabs>
        <w:ind w:left="6106" w:hanging="360"/>
      </w:pPr>
    </w:lvl>
    <w:lvl w:ilvl="7" w:tplc="04090019">
      <w:start w:val="1"/>
      <w:numFmt w:val="lowerLetter"/>
      <w:lvlText w:val="%8."/>
      <w:lvlJc w:val="left"/>
      <w:pPr>
        <w:tabs>
          <w:tab w:val="num" w:pos="6826"/>
        </w:tabs>
        <w:ind w:left="6826" w:hanging="360"/>
      </w:pPr>
    </w:lvl>
    <w:lvl w:ilvl="8" w:tplc="0409001B">
      <w:start w:val="1"/>
      <w:numFmt w:val="lowerRoman"/>
      <w:lvlText w:val="%9."/>
      <w:lvlJc w:val="right"/>
      <w:pPr>
        <w:tabs>
          <w:tab w:val="num" w:pos="7546"/>
        </w:tabs>
        <w:ind w:left="7546" w:hanging="180"/>
      </w:pPr>
    </w:lvl>
  </w:abstractNum>
  <w:abstractNum w:abstractNumId="2">
    <w:nsid w:val="0D9709A7"/>
    <w:multiLevelType w:val="hybridMultilevel"/>
    <w:tmpl w:val="EB6AC8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0F9E52C8"/>
    <w:multiLevelType w:val="hybridMultilevel"/>
    <w:tmpl w:val="F25AFD3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4">
    <w:nsid w:val="0FBC53AB"/>
    <w:multiLevelType w:val="hybridMultilevel"/>
    <w:tmpl w:val="7DB87B18"/>
    <w:lvl w:ilvl="0" w:tplc="A75E6EDA">
      <w:start w:val="15"/>
      <w:numFmt w:val="decimal"/>
      <w:lvlText w:val="%1."/>
      <w:lvlJc w:val="left"/>
      <w:pPr>
        <w:ind w:left="720" w:hanging="360"/>
      </w:pPr>
      <w:rPr>
        <w:rFonts w:hint="default"/>
        <w:b w:val="0"/>
        <w:bCs w:val="0"/>
        <w:sz w:val="24"/>
        <w:szCs w:val="24"/>
      </w:rPr>
    </w:lvl>
    <w:lvl w:ilvl="1" w:tplc="08090001">
      <w:start w:val="1"/>
      <w:numFmt w:val="bullet"/>
      <w:lvlText w:val=""/>
      <w:lvlJc w:val="left"/>
      <w:pPr>
        <w:ind w:left="1440" w:hanging="360"/>
      </w:pPr>
      <w:rPr>
        <w:rFonts w:ascii="Symbol" w:hAnsi="Symbol" w:cs="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0FD63900"/>
    <w:multiLevelType w:val="hybridMultilevel"/>
    <w:tmpl w:val="9C96A7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19D40BCB"/>
    <w:multiLevelType w:val="hybridMultilevel"/>
    <w:tmpl w:val="385EB8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1F2D4AEA"/>
    <w:multiLevelType w:val="hybridMultilevel"/>
    <w:tmpl w:val="6ADC01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23744AB6"/>
    <w:multiLevelType w:val="hybridMultilevel"/>
    <w:tmpl w:val="2C7AB8CE"/>
    <w:lvl w:ilvl="0" w:tplc="5F0EFEE0">
      <w:start w:val="1"/>
      <w:numFmt w:val="decimal"/>
      <w:lvlText w:val="%1."/>
      <w:lvlJc w:val="left"/>
      <w:pPr>
        <w:ind w:left="720" w:hanging="360"/>
      </w:pPr>
      <w:rPr>
        <w:rFonts w:hint="default"/>
        <w:b w:val="0"/>
        <w:bCs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24D40246"/>
    <w:multiLevelType w:val="hybridMultilevel"/>
    <w:tmpl w:val="63DAFF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27941C5C"/>
    <w:multiLevelType w:val="hybridMultilevel"/>
    <w:tmpl w:val="3162E164"/>
    <w:lvl w:ilvl="0" w:tplc="08090003">
      <w:start w:val="1"/>
      <w:numFmt w:val="bullet"/>
      <w:lvlText w:val="o"/>
      <w:lvlJc w:val="left"/>
      <w:pPr>
        <w:ind w:left="1710" w:hanging="360"/>
      </w:pPr>
      <w:rPr>
        <w:rFonts w:ascii="Courier New" w:hAnsi="Courier New" w:cs="Courier New" w:hint="default"/>
      </w:rPr>
    </w:lvl>
    <w:lvl w:ilvl="1" w:tplc="08090003">
      <w:start w:val="1"/>
      <w:numFmt w:val="bullet"/>
      <w:lvlText w:val="o"/>
      <w:lvlJc w:val="left"/>
      <w:pPr>
        <w:ind w:left="2430" w:hanging="360"/>
      </w:pPr>
      <w:rPr>
        <w:rFonts w:ascii="Courier New" w:hAnsi="Courier New" w:cs="Courier New" w:hint="default"/>
      </w:rPr>
    </w:lvl>
    <w:lvl w:ilvl="2" w:tplc="08090005">
      <w:start w:val="1"/>
      <w:numFmt w:val="bullet"/>
      <w:lvlText w:val=""/>
      <w:lvlJc w:val="left"/>
      <w:pPr>
        <w:ind w:left="3150" w:hanging="360"/>
      </w:pPr>
      <w:rPr>
        <w:rFonts w:ascii="Wingdings" w:hAnsi="Wingdings" w:cs="Wingdings" w:hint="default"/>
      </w:rPr>
    </w:lvl>
    <w:lvl w:ilvl="3" w:tplc="08090001">
      <w:start w:val="1"/>
      <w:numFmt w:val="bullet"/>
      <w:lvlText w:val=""/>
      <w:lvlJc w:val="left"/>
      <w:pPr>
        <w:ind w:left="3870" w:hanging="360"/>
      </w:pPr>
      <w:rPr>
        <w:rFonts w:ascii="Symbol" w:hAnsi="Symbol" w:cs="Symbol" w:hint="default"/>
      </w:rPr>
    </w:lvl>
    <w:lvl w:ilvl="4" w:tplc="08090003">
      <w:start w:val="1"/>
      <w:numFmt w:val="bullet"/>
      <w:lvlText w:val="o"/>
      <w:lvlJc w:val="left"/>
      <w:pPr>
        <w:ind w:left="4590" w:hanging="360"/>
      </w:pPr>
      <w:rPr>
        <w:rFonts w:ascii="Courier New" w:hAnsi="Courier New" w:cs="Courier New" w:hint="default"/>
      </w:rPr>
    </w:lvl>
    <w:lvl w:ilvl="5" w:tplc="08090005">
      <w:start w:val="1"/>
      <w:numFmt w:val="bullet"/>
      <w:lvlText w:val=""/>
      <w:lvlJc w:val="left"/>
      <w:pPr>
        <w:ind w:left="5310" w:hanging="360"/>
      </w:pPr>
      <w:rPr>
        <w:rFonts w:ascii="Wingdings" w:hAnsi="Wingdings" w:cs="Wingdings" w:hint="default"/>
      </w:rPr>
    </w:lvl>
    <w:lvl w:ilvl="6" w:tplc="08090001">
      <w:start w:val="1"/>
      <w:numFmt w:val="bullet"/>
      <w:lvlText w:val=""/>
      <w:lvlJc w:val="left"/>
      <w:pPr>
        <w:ind w:left="6030" w:hanging="360"/>
      </w:pPr>
      <w:rPr>
        <w:rFonts w:ascii="Symbol" w:hAnsi="Symbol" w:cs="Symbol" w:hint="default"/>
      </w:rPr>
    </w:lvl>
    <w:lvl w:ilvl="7" w:tplc="08090003">
      <w:start w:val="1"/>
      <w:numFmt w:val="bullet"/>
      <w:lvlText w:val="o"/>
      <w:lvlJc w:val="left"/>
      <w:pPr>
        <w:ind w:left="6750" w:hanging="360"/>
      </w:pPr>
      <w:rPr>
        <w:rFonts w:ascii="Courier New" w:hAnsi="Courier New" w:cs="Courier New" w:hint="default"/>
      </w:rPr>
    </w:lvl>
    <w:lvl w:ilvl="8" w:tplc="08090005">
      <w:start w:val="1"/>
      <w:numFmt w:val="bullet"/>
      <w:lvlText w:val=""/>
      <w:lvlJc w:val="left"/>
      <w:pPr>
        <w:ind w:left="7470" w:hanging="360"/>
      </w:pPr>
      <w:rPr>
        <w:rFonts w:ascii="Wingdings" w:hAnsi="Wingdings" w:cs="Wingdings" w:hint="default"/>
      </w:rPr>
    </w:lvl>
  </w:abstractNum>
  <w:abstractNum w:abstractNumId="11">
    <w:nsid w:val="29A5549F"/>
    <w:multiLevelType w:val="hybridMultilevel"/>
    <w:tmpl w:val="6548D1BC"/>
    <w:lvl w:ilvl="0" w:tplc="5F0EFEE0">
      <w:start w:val="1"/>
      <w:numFmt w:val="decimal"/>
      <w:lvlText w:val="%1."/>
      <w:lvlJc w:val="left"/>
      <w:pPr>
        <w:ind w:left="720" w:hanging="360"/>
      </w:pPr>
      <w:rPr>
        <w:rFonts w:hint="default"/>
        <w:b w:val="0"/>
        <w:bCs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2A5125A5"/>
    <w:multiLevelType w:val="hybridMultilevel"/>
    <w:tmpl w:val="D400AE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2AC92751"/>
    <w:multiLevelType w:val="hybridMultilevel"/>
    <w:tmpl w:val="262E0E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2D3E666D"/>
    <w:multiLevelType w:val="hybridMultilevel"/>
    <w:tmpl w:val="67548D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2E3E32F3"/>
    <w:multiLevelType w:val="hybridMultilevel"/>
    <w:tmpl w:val="8E421E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2EB92627"/>
    <w:multiLevelType w:val="hybridMultilevel"/>
    <w:tmpl w:val="B4CA2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32AD58DC"/>
    <w:multiLevelType w:val="hybridMultilevel"/>
    <w:tmpl w:val="93A0E0B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nsid w:val="35414CD1"/>
    <w:multiLevelType w:val="hybridMultilevel"/>
    <w:tmpl w:val="BB4CEEC8"/>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cs="Wingdings" w:hint="default"/>
      </w:rPr>
    </w:lvl>
    <w:lvl w:ilvl="3" w:tplc="08090001">
      <w:start w:val="1"/>
      <w:numFmt w:val="bullet"/>
      <w:lvlText w:val=""/>
      <w:lvlJc w:val="left"/>
      <w:pPr>
        <w:ind w:left="3960" w:hanging="360"/>
      </w:pPr>
      <w:rPr>
        <w:rFonts w:ascii="Symbol" w:hAnsi="Symbol" w:cs="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cs="Wingdings" w:hint="default"/>
      </w:rPr>
    </w:lvl>
    <w:lvl w:ilvl="6" w:tplc="08090001">
      <w:start w:val="1"/>
      <w:numFmt w:val="bullet"/>
      <w:lvlText w:val=""/>
      <w:lvlJc w:val="left"/>
      <w:pPr>
        <w:ind w:left="6120" w:hanging="360"/>
      </w:pPr>
      <w:rPr>
        <w:rFonts w:ascii="Symbol" w:hAnsi="Symbol" w:cs="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cs="Wingdings" w:hint="default"/>
      </w:rPr>
    </w:lvl>
  </w:abstractNum>
  <w:abstractNum w:abstractNumId="19">
    <w:nsid w:val="3CE54B84"/>
    <w:multiLevelType w:val="hybridMultilevel"/>
    <w:tmpl w:val="3A203C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3ED0745B"/>
    <w:multiLevelType w:val="hybridMultilevel"/>
    <w:tmpl w:val="551442B2"/>
    <w:lvl w:ilvl="0" w:tplc="08090001">
      <w:start w:val="1"/>
      <w:numFmt w:val="bullet"/>
      <w:lvlText w:val=""/>
      <w:lvlJc w:val="left"/>
      <w:pPr>
        <w:ind w:left="780" w:hanging="360"/>
      </w:pPr>
      <w:rPr>
        <w:rFonts w:ascii="Symbol" w:hAnsi="Symbol" w:cs="Symbol" w:hint="default"/>
        <w:color w:val="auto"/>
      </w:rPr>
    </w:lvl>
    <w:lvl w:ilvl="1" w:tplc="08090019">
      <w:start w:val="1"/>
      <w:numFmt w:val="lowerLetter"/>
      <w:lvlText w:val="%2."/>
      <w:lvlJc w:val="left"/>
      <w:pPr>
        <w:tabs>
          <w:tab w:val="num" w:pos="1500"/>
        </w:tabs>
        <w:ind w:left="1500" w:hanging="360"/>
      </w:pPr>
    </w:lvl>
    <w:lvl w:ilvl="2" w:tplc="0809001B">
      <w:start w:val="1"/>
      <w:numFmt w:val="lowerRoman"/>
      <w:lvlText w:val="%3."/>
      <w:lvlJc w:val="right"/>
      <w:pPr>
        <w:tabs>
          <w:tab w:val="num" w:pos="2220"/>
        </w:tabs>
        <w:ind w:left="2220" w:hanging="180"/>
      </w:pPr>
    </w:lvl>
    <w:lvl w:ilvl="3" w:tplc="0809000F">
      <w:start w:val="1"/>
      <w:numFmt w:val="decimal"/>
      <w:lvlText w:val="%4."/>
      <w:lvlJc w:val="left"/>
      <w:pPr>
        <w:tabs>
          <w:tab w:val="num" w:pos="2940"/>
        </w:tabs>
        <w:ind w:left="2940" w:hanging="360"/>
      </w:pPr>
    </w:lvl>
    <w:lvl w:ilvl="4" w:tplc="08090019">
      <w:start w:val="1"/>
      <w:numFmt w:val="lowerLetter"/>
      <w:lvlText w:val="%5."/>
      <w:lvlJc w:val="left"/>
      <w:pPr>
        <w:tabs>
          <w:tab w:val="num" w:pos="3660"/>
        </w:tabs>
        <w:ind w:left="3660" w:hanging="360"/>
      </w:pPr>
    </w:lvl>
    <w:lvl w:ilvl="5" w:tplc="0809001B">
      <w:start w:val="1"/>
      <w:numFmt w:val="lowerRoman"/>
      <w:lvlText w:val="%6."/>
      <w:lvlJc w:val="right"/>
      <w:pPr>
        <w:tabs>
          <w:tab w:val="num" w:pos="4380"/>
        </w:tabs>
        <w:ind w:left="4380" w:hanging="180"/>
      </w:pPr>
    </w:lvl>
    <w:lvl w:ilvl="6" w:tplc="0809000F">
      <w:start w:val="1"/>
      <w:numFmt w:val="decimal"/>
      <w:lvlText w:val="%7."/>
      <w:lvlJc w:val="left"/>
      <w:pPr>
        <w:tabs>
          <w:tab w:val="num" w:pos="5100"/>
        </w:tabs>
        <w:ind w:left="5100" w:hanging="360"/>
      </w:pPr>
    </w:lvl>
    <w:lvl w:ilvl="7" w:tplc="08090019">
      <w:start w:val="1"/>
      <w:numFmt w:val="lowerLetter"/>
      <w:lvlText w:val="%8."/>
      <w:lvlJc w:val="left"/>
      <w:pPr>
        <w:tabs>
          <w:tab w:val="num" w:pos="5820"/>
        </w:tabs>
        <w:ind w:left="5820" w:hanging="360"/>
      </w:pPr>
    </w:lvl>
    <w:lvl w:ilvl="8" w:tplc="0809001B">
      <w:start w:val="1"/>
      <w:numFmt w:val="lowerRoman"/>
      <w:lvlText w:val="%9."/>
      <w:lvlJc w:val="right"/>
      <w:pPr>
        <w:tabs>
          <w:tab w:val="num" w:pos="6540"/>
        </w:tabs>
        <w:ind w:left="6540" w:hanging="180"/>
      </w:pPr>
    </w:lvl>
  </w:abstractNum>
  <w:abstractNum w:abstractNumId="21">
    <w:nsid w:val="4157752F"/>
    <w:multiLevelType w:val="hybridMultilevel"/>
    <w:tmpl w:val="A642DD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41F64125"/>
    <w:multiLevelType w:val="hybridMultilevel"/>
    <w:tmpl w:val="D6E823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nsid w:val="452562EA"/>
    <w:multiLevelType w:val="hybridMultilevel"/>
    <w:tmpl w:val="F2D459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nsid w:val="45CF6A1E"/>
    <w:multiLevelType w:val="hybridMultilevel"/>
    <w:tmpl w:val="B8E6D348"/>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25">
    <w:nsid w:val="45D53BC0"/>
    <w:multiLevelType w:val="hybridMultilevel"/>
    <w:tmpl w:val="FB86CF5A"/>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26">
    <w:nsid w:val="487B54BE"/>
    <w:multiLevelType w:val="hybridMultilevel"/>
    <w:tmpl w:val="771831D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7">
    <w:nsid w:val="4E38089C"/>
    <w:multiLevelType w:val="hybridMultilevel"/>
    <w:tmpl w:val="D7CC4050"/>
    <w:lvl w:ilvl="0" w:tplc="08090001">
      <w:start w:val="1"/>
      <w:numFmt w:val="bullet"/>
      <w:lvlText w:val=""/>
      <w:lvlJc w:val="left"/>
      <w:pPr>
        <w:ind w:left="1429" w:hanging="360"/>
      </w:pPr>
      <w:rPr>
        <w:rFonts w:ascii="Symbol" w:hAnsi="Symbol" w:cs="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cs="Wingdings" w:hint="default"/>
      </w:rPr>
    </w:lvl>
    <w:lvl w:ilvl="3" w:tplc="08090001">
      <w:start w:val="1"/>
      <w:numFmt w:val="bullet"/>
      <w:lvlText w:val=""/>
      <w:lvlJc w:val="left"/>
      <w:pPr>
        <w:ind w:left="3589" w:hanging="360"/>
      </w:pPr>
      <w:rPr>
        <w:rFonts w:ascii="Symbol" w:hAnsi="Symbol" w:cs="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cs="Wingdings" w:hint="default"/>
      </w:rPr>
    </w:lvl>
    <w:lvl w:ilvl="6" w:tplc="08090001">
      <w:start w:val="1"/>
      <w:numFmt w:val="bullet"/>
      <w:lvlText w:val=""/>
      <w:lvlJc w:val="left"/>
      <w:pPr>
        <w:ind w:left="5749" w:hanging="360"/>
      </w:pPr>
      <w:rPr>
        <w:rFonts w:ascii="Symbol" w:hAnsi="Symbol" w:cs="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cs="Wingdings" w:hint="default"/>
      </w:rPr>
    </w:lvl>
  </w:abstractNum>
  <w:abstractNum w:abstractNumId="28">
    <w:nsid w:val="506E5C2E"/>
    <w:multiLevelType w:val="hybridMultilevel"/>
    <w:tmpl w:val="E97839A2"/>
    <w:lvl w:ilvl="0" w:tplc="08090001">
      <w:start w:val="1"/>
      <w:numFmt w:val="bullet"/>
      <w:lvlText w:val=""/>
      <w:lvlJc w:val="left"/>
      <w:pPr>
        <w:ind w:left="1429" w:hanging="360"/>
      </w:pPr>
      <w:rPr>
        <w:rFonts w:ascii="Symbol" w:hAnsi="Symbol" w:cs="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cs="Wingdings" w:hint="default"/>
      </w:rPr>
    </w:lvl>
    <w:lvl w:ilvl="3" w:tplc="08090001">
      <w:start w:val="1"/>
      <w:numFmt w:val="bullet"/>
      <w:lvlText w:val=""/>
      <w:lvlJc w:val="left"/>
      <w:pPr>
        <w:ind w:left="3589" w:hanging="360"/>
      </w:pPr>
      <w:rPr>
        <w:rFonts w:ascii="Symbol" w:hAnsi="Symbol" w:cs="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cs="Wingdings" w:hint="default"/>
      </w:rPr>
    </w:lvl>
    <w:lvl w:ilvl="6" w:tplc="08090001">
      <w:start w:val="1"/>
      <w:numFmt w:val="bullet"/>
      <w:lvlText w:val=""/>
      <w:lvlJc w:val="left"/>
      <w:pPr>
        <w:ind w:left="5749" w:hanging="360"/>
      </w:pPr>
      <w:rPr>
        <w:rFonts w:ascii="Symbol" w:hAnsi="Symbol" w:cs="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cs="Wingdings" w:hint="default"/>
      </w:rPr>
    </w:lvl>
  </w:abstractNum>
  <w:abstractNum w:abstractNumId="29">
    <w:nsid w:val="50AE7011"/>
    <w:multiLevelType w:val="hybridMultilevel"/>
    <w:tmpl w:val="6308A22E"/>
    <w:lvl w:ilvl="0" w:tplc="08090001">
      <w:start w:val="1"/>
      <w:numFmt w:val="bullet"/>
      <w:lvlText w:val=""/>
      <w:lvlJc w:val="left"/>
      <w:pPr>
        <w:ind w:left="720" w:hanging="360"/>
      </w:pPr>
      <w:rPr>
        <w:rFonts w:ascii="Symbol" w:hAnsi="Symbol" w:cs="Symbol"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nsid w:val="513939CD"/>
    <w:multiLevelType w:val="hybridMultilevel"/>
    <w:tmpl w:val="3830FB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nsid w:val="54045ADD"/>
    <w:multiLevelType w:val="hybridMultilevel"/>
    <w:tmpl w:val="24BA63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nsid w:val="58661872"/>
    <w:multiLevelType w:val="hybridMultilevel"/>
    <w:tmpl w:val="FE3ABA2A"/>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33">
    <w:nsid w:val="5A554662"/>
    <w:multiLevelType w:val="hybridMultilevel"/>
    <w:tmpl w:val="B750EA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nsid w:val="5E5E7CC3"/>
    <w:multiLevelType w:val="hybridMultilevel"/>
    <w:tmpl w:val="3BF48D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nsid w:val="5FCF5029"/>
    <w:multiLevelType w:val="hybridMultilevel"/>
    <w:tmpl w:val="37EE2B2C"/>
    <w:lvl w:ilvl="0" w:tplc="B166380C">
      <w:start w:val="1"/>
      <w:numFmt w:val="decimal"/>
      <w:lvlText w:val="%1."/>
      <w:lvlJc w:val="left"/>
      <w:pPr>
        <w:tabs>
          <w:tab w:val="num" w:pos="720"/>
        </w:tabs>
        <w:ind w:left="720" w:hanging="360"/>
      </w:pPr>
      <w:rPr>
        <w:b w:val="0"/>
        <w:bCs w:val="0"/>
        <w:i w:val="0"/>
        <w:iCs w:val="0"/>
      </w:rPr>
    </w:lvl>
    <w:lvl w:ilvl="1" w:tplc="F296283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6399286E"/>
    <w:multiLevelType w:val="hybridMultilevel"/>
    <w:tmpl w:val="37EE2B2C"/>
    <w:lvl w:ilvl="0" w:tplc="B166380C">
      <w:start w:val="1"/>
      <w:numFmt w:val="decimal"/>
      <w:lvlText w:val="%1."/>
      <w:lvlJc w:val="left"/>
      <w:pPr>
        <w:tabs>
          <w:tab w:val="num" w:pos="720"/>
        </w:tabs>
        <w:ind w:left="720" w:hanging="360"/>
      </w:pPr>
      <w:rPr>
        <w:b w:val="0"/>
        <w:bCs w:val="0"/>
        <w:i w:val="0"/>
        <w:iCs w:val="0"/>
      </w:rPr>
    </w:lvl>
    <w:lvl w:ilvl="1" w:tplc="F296283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660A5C0F"/>
    <w:multiLevelType w:val="hybridMultilevel"/>
    <w:tmpl w:val="AABA12D0"/>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38">
    <w:nsid w:val="6B7A6457"/>
    <w:multiLevelType w:val="hybridMultilevel"/>
    <w:tmpl w:val="753283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nsid w:val="6BE8769F"/>
    <w:multiLevelType w:val="hybridMultilevel"/>
    <w:tmpl w:val="710C4614"/>
    <w:lvl w:ilvl="0" w:tplc="CE50497C">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nsid w:val="6E5A4D46"/>
    <w:multiLevelType w:val="hybridMultilevel"/>
    <w:tmpl w:val="8E7C97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nsid w:val="74065DB6"/>
    <w:multiLevelType w:val="hybridMultilevel"/>
    <w:tmpl w:val="424E127E"/>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cs="Wingdings" w:hint="default"/>
      </w:rPr>
    </w:lvl>
    <w:lvl w:ilvl="3" w:tplc="08090001">
      <w:start w:val="1"/>
      <w:numFmt w:val="bullet"/>
      <w:lvlText w:val=""/>
      <w:lvlJc w:val="left"/>
      <w:pPr>
        <w:ind w:left="3960" w:hanging="360"/>
      </w:pPr>
      <w:rPr>
        <w:rFonts w:ascii="Symbol" w:hAnsi="Symbol" w:cs="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cs="Wingdings" w:hint="default"/>
      </w:rPr>
    </w:lvl>
    <w:lvl w:ilvl="6" w:tplc="08090001">
      <w:start w:val="1"/>
      <w:numFmt w:val="bullet"/>
      <w:lvlText w:val=""/>
      <w:lvlJc w:val="left"/>
      <w:pPr>
        <w:ind w:left="6120" w:hanging="360"/>
      </w:pPr>
      <w:rPr>
        <w:rFonts w:ascii="Symbol" w:hAnsi="Symbol" w:cs="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cs="Wingdings" w:hint="default"/>
      </w:rPr>
    </w:lvl>
  </w:abstractNum>
  <w:abstractNum w:abstractNumId="42">
    <w:nsid w:val="7814747B"/>
    <w:multiLevelType w:val="hybridMultilevel"/>
    <w:tmpl w:val="AC326A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nsid w:val="79C014F7"/>
    <w:multiLevelType w:val="hybridMultilevel"/>
    <w:tmpl w:val="FA36AC72"/>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44">
    <w:nsid w:val="7B1473B0"/>
    <w:multiLevelType w:val="hybridMultilevel"/>
    <w:tmpl w:val="D44AD060"/>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45">
    <w:nsid w:val="7B275FED"/>
    <w:multiLevelType w:val="hybridMultilevel"/>
    <w:tmpl w:val="CB283992"/>
    <w:lvl w:ilvl="0" w:tplc="5F0EFEE0">
      <w:start w:val="1"/>
      <w:numFmt w:val="decimal"/>
      <w:lvlText w:val="%1."/>
      <w:lvlJc w:val="left"/>
      <w:pPr>
        <w:ind w:left="720" w:hanging="360"/>
      </w:pPr>
      <w:rPr>
        <w:rFonts w:hint="default"/>
        <w:b w:val="0"/>
        <w:bCs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6">
    <w:nsid w:val="7C1E5EDB"/>
    <w:multiLevelType w:val="hybridMultilevel"/>
    <w:tmpl w:val="957E85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7">
    <w:nsid w:val="7DB72916"/>
    <w:multiLevelType w:val="hybridMultilevel"/>
    <w:tmpl w:val="BB74EA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8">
    <w:nsid w:val="7F6213EC"/>
    <w:multiLevelType w:val="hybridMultilevel"/>
    <w:tmpl w:val="D6A876E0"/>
    <w:lvl w:ilvl="0" w:tplc="5F0EFEE0">
      <w:start w:val="1"/>
      <w:numFmt w:val="decimal"/>
      <w:lvlText w:val="%1."/>
      <w:lvlJc w:val="left"/>
      <w:pPr>
        <w:ind w:left="720" w:hanging="360"/>
      </w:pPr>
      <w:rPr>
        <w:rFonts w:hint="default"/>
        <w:b w:val="0"/>
        <w:bCs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7"/>
  </w:num>
  <w:num w:numId="2">
    <w:abstractNumId w:val="2"/>
  </w:num>
  <w:num w:numId="3">
    <w:abstractNumId w:val="19"/>
  </w:num>
  <w:num w:numId="4">
    <w:abstractNumId w:val="27"/>
  </w:num>
  <w:num w:numId="5">
    <w:abstractNumId w:val="17"/>
  </w:num>
  <w:num w:numId="6">
    <w:abstractNumId w:val="47"/>
  </w:num>
  <w:num w:numId="7">
    <w:abstractNumId w:val="35"/>
  </w:num>
  <w:num w:numId="8">
    <w:abstractNumId w:val="1"/>
  </w:num>
  <w:num w:numId="9">
    <w:abstractNumId w:val="36"/>
  </w:num>
  <w:num w:numId="10">
    <w:abstractNumId w:val="8"/>
  </w:num>
  <w:num w:numId="11">
    <w:abstractNumId w:val="31"/>
  </w:num>
  <w:num w:numId="12">
    <w:abstractNumId w:val="22"/>
  </w:num>
  <w:num w:numId="13">
    <w:abstractNumId w:val="33"/>
  </w:num>
  <w:num w:numId="14">
    <w:abstractNumId w:val="12"/>
  </w:num>
  <w:num w:numId="15">
    <w:abstractNumId w:val="34"/>
  </w:num>
  <w:num w:numId="16">
    <w:abstractNumId w:val="42"/>
  </w:num>
  <w:num w:numId="17">
    <w:abstractNumId w:val="23"/>
  </w:num>
  <w:num w:numId="18">
    <w:abstractNumId w:val="30"/>
  </w:num>
  <w:num w:numId="19">
    <w:abstractNumId w:val="40"/>
  </w:num>
  <w:num w:numId="20">
    <w:abstractNumId w:val="14"/>
  </w:num>
  <w:num w:numId="21">
    <w:abstractNumId w:val="24"/>
  </w:num>
  <w:num w:numId="22">
    <w:abstractNumId w:val="18"/>
  </w:num>
  <w:num w:numId="23">
    <w:abstractNumId w:val="41"/>
  </w:num>
  <w:num w:numId="24">
    <w:abstractNumId w:val="37"/>
  </w:num>
  <w:num w:numId="25">
    <w:abstractNumId w:val="32"/>
  </w:num>
  <w:num w:numId="26">
    <w:abstractNumId w:val="44"/>
  </w:num>
  <w:num w:numId="27">
    <w:abstractNumId w:val="10"/>
  </w:num>
  <w:num w:numId="28">
    <w:abstractNumId w:val="15"/>
  </w:num>
  <w:num w:numId="29">
    <w:abstractNumId w:val="20"/>
  </w:num>
  <w:num w:numId="30">
    <w:abstractNumId w:val="13"/>
  </w:num>
  <w:num w:numId="31">
    <w:abstractNumId w:val="46"/>
  </w:num>
  <w:num w:numId="32">
    <w:abstractNumId w:val="38"/>
  </w:num>
  <w:num w:numId="33">
    <w:abstractNumId w:val="6"/>
  </w:num>
  <w:num w:numId="34">
    <w:abstractNumId w:val="21"/>
  </w:num>
  <w:num w:numId="35">
    <w:abstractNumId w:val="5"/>
  </w:num>
  <w:num w:numId="36">
    <w:abstractNumId w:val="9"/>
  </w:num>
  <w:num w:numId="37">
    <w:abstractNumId w:val="16"/>
  </w:num>
  <w:num w:numId="38">
    <w:abstractNumId w:val="11"/>
  </w:num>
  <w:num w:numId="39">
    <w:abstractNumId w:val="45"/>
  </w:num>
  <w:num w:numId="40">
    <w:abstractNumId w:val="48"/>
  </w:num>
  <w:num w:numId="41">
    <w:abstractNumId w:val="0"/>
  </w:num>
  <w:num w:numId="42">
    <w:abstractNumId w:val="39"/>
  </w:num>
  <w:num w:numId="43">
    <w:abstractNumId w:val="29"/>
  </w:num>
  <w:num w:numId="44">
    <w:abstractNumId w:val="3"/>
  </w:num>
  <w:num w:numId="45">
    <w:abstractNumId w:val="26"/>
  </w:num>
  <w:num w:numId="46">
    <w:abstractNumId w:val="25"/>
  </w:num>
  <w:num w:numId="47">
    <w:abstractNumId w:val="4"/>
  </w:num>
  <w:num w:numId="48">
    <w:abstractNumId w:val="43"/>
  </w:num>
  <w:num w:numId="49">
    <w:abstractNumId w:val="28"/>
  </w:num>
  <w:num w:numId="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87"/>
  <w:drawingGridVerticalSpacing w:val="127"/>
  <w:displayHorizontalDrawingGridEvery w:val="0"/>
  <w:displayVerticalDrawingGridEvery w:val="2"/>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LastOpened" w:val="26/11/2014 10:48"/>
  </w:docVars>
  <w:rsids>
    <w:rsidRoot w:val="00AF6555"/>
    <w:rsid w:val="00001544"/>
    <w:rsid w:val="00003D5D"/>
    <w:rsid w:val="00005C95"/>
    <w:rsid w:val="000101D7"/>
    <w:rsid w:val="0001716B"/>
    <w:rsid w:val="00020058"/>
    <w:rsid w:val="00020FD2"/>
    <w:rsid w:val="00044029"/>
    <w:rsid w:val="000525C7"/>
    <w:rsid w:val="00056C3D"/>
    <w:rsid w:val="00056DE8"/>
    <w:rsid w:val="00061FF6"/>
    <w:rsid w:val="00067A2E"/>
    <w:rsid w:val="00067F8C"/>
    <w:rsid w:val="00074995"/>
    <w:rsid w:val="00082FF2"/>
    <w:rsid w:val="00083DA2"/>
    <w:rsid w:val="000860C4"/>
    <w:rsid w:val="000B46E1"/>
    <w:rsid w:val="000C18F1"/>
    <w:rsid w:val="000C30EC"/>
    <w:rsid w:val="000C5EDE"/>
    <w:rsid w:val="000D499C"/>
    <w:rsid w:val="000F3D61"/>
    <w:rsid w:val="001003B8"/>
    <w:rsid w:val="00106973"/>
    <w:rsid w:val="00117834"/>
    <w:rsid w:val="00125447"/>
    <w:rsid w:val="00141B00"/>
    <w:rsid w:val="00146C7E"/>
    <w:rsid w:val="00152F75"/>
    <w:rsid w:val="00155E45"/>
    <w:rsid w:val="00161F0E"/>
    <w:rsid w:val="00166314"/>
    <w:rsid w:val="00172355"/>
    <w:rsid w:val="00181CAA"/>
    <w:rsid w:val="0018303A"/>
    <w:rsid w:val="001978A8"/>
    <w:rsid w:val="001A0FD1"/>
    <w:rsid w:val="001A1D0A"/>
    <w:rsid w:val="001B05C7"/>
    <w:rsid w:val="001B228D"/>
    <w:rsid w:val="001C51B9"/>
    <w:rsid w:val="001D171D"/>
    <w:rsid w:val="001D545F"/>
    <w:rsid w:val="001E08C5"/>
    <w:rsid w:val="001E237C"/>
    <w:rsid w:val="001F1EEA"/>
    <w:rsid w:val="001F44D7"/>
    <w:rsid w:val="00202D79"/>
    <w:rsid w:val="002030A4"/>
    <w:rsid w:val="00205B9E"/>
    <w:rsid w:val="00210045"/>
    <w:rsid w:val="00215306"/>
    <w:rsid w:val="0022223F"/>
    <w:rsid w:val="00232711"/>
    <w:rsid w:val="00232CAA"/>
    <w:rsid w:val="00233753"/>
    <w:rsid w:val="002518E6"/>
    <w:rsid w:val="00251BCE"/>
    <w:rsid w:val="00251BEA"/>
    <w:rsid w:val="00256BF4"/>
    <w:rsid w:val="002770F8"/>
    <w:rsid w:val="00280A87"/>
    <w:rsid w:val="00287DD3"/>
    <w:rsid w:val="00291AA3"/>
    <w:rsid w:val="002924C4"/>
    <w:rsid w:val="00293293"/>
    <w:rsid w:val="002A0CBA"/>
    <w:rsid w:val="002A20D2"/>
    <w:rsid w:val="002A3B8D"/>
    <w:rsid w:val="002B0630"/>
    <w:rsid w:val="002B217C"/>
    <w:rsid w:val="002B5641"/>
    <w:rsid w:val="002B6689"/>
    <w:rsid w:val="002C64E5"/>
    <w:rsid w:val="002C6E12"/>
    <w:rsid w:val="002C7F91"/>
    <w:rsid w:val="002D2E9E"/>
    <w:rsid w:val="002D7BB0"/>
    <w:rsid w:val="002E1FA5"/>
    <w:rsid w:val="002E3736"/>
    <w:rsid w:val="002E7E83"/>
    <w:rsid w:val="002F1224"/>
    <w:rsid w:val="002F200D"/>
    <w:rsid w:val="002F3031"/>
    <w:rsid w:val="002F6A50"/>
    <w:rsid w:val="002F6CFD"/>
    <w:rsid w:val="00301BCC"/>
    <w:rsid w:val="00303FD6"/>
    <w:rsid w:val="00306458"/>
    <w:rsid w:val="00314B0F"/>
    <w:rsid w:val="00322DD3"/>
    <w:rsid w:val="00333FAA"/>
    <w:rsid w:val="00353069"/>
    <w:rsid w:val="00353BCA"/>
    <w:rsid w:val="00356159"/>
    <w:rsid w:val="00356DD0"/>
    <w:rsid w:val="00364B89"/>
    <w:rsid w:val="00377F08"/>
    <w:rsid w:val="0038440E"/>
    <w:rsid w:val="00391D8D"/>
    <w:rsid w:val="00395151"/>
    <w:rsid w:val="003B57A8"/>
    <w:rsid w:val="003C29DA"/>
    <w:rsid w:val="003C44E0"/>
    <w:rsid w:val="003C4CB5"/>
    <w:rsid w:val="003C6CE1"/>
    <w:rsid w:val="003D3E04"/>
    <w:rsid w:val="003D78F6"/>
    <w:rsid w:val="003E40C4"/>
    <w:rsid w:val="003F0FF1"/>
    <w:rsid w:val="003F4EF0"/>
    <w:rsid w:val="003F69BD"/>
    <w:rsid w:val="00400E2B"/>
    <w:rsid w:val="00403B79"/>
    <w:rsid w:val="00414DD5"/>
    <w:rsid w:val="00421103"/>
    <w:rsid w:val="00425227"/>
    <w:rsid w:val="00430DEE"/>
    <w:rsid w:val="00434BAB"/>
    <w:rsid w:val="00450686"/>
    <w:rsid w:val="004709BE"/>
    <w:rsid w:val="00472CA0"/>
    <w:rsid w:val="004752EA"/>
    <w:rsid w:val="00477010"/>
    <w:rsid w:val="00486411"/>
    <w:rsid w:val="004951B6"/>
    <w:rsid w:val="00495928"/>
    <w:rsid w:val="00495CF0"/>
    <w:rsid w:val="00496A9D"/>
    <w:rsid w:val="00497952"/>
    <w:rsid w:val="004A15EC"/>
    <w:rsid w:val="004B5ED8"/>
    <w:rsid w:val="004D063F"/>
    <w:rsid w:val="004D793A"/>
    <w:rsid w:val="004D7FC9"/>
    <w:rsid w:val="004E233F"/>
    <w:rsid w:val="004E34DA"/>
    <w:rsid w:val="004E47FC"/>
    <w:rsid w:val="004F5A77"/>
    <w:rsid w:val="004F5DE0"/>
    <w:rsid w:val="004F6A92"/>
    <w:rsid w:val="004F7EC5"/>
    <w:rsid w:val="00501DD3"/>
    <w:rsid w:val="00504928"/>
    <w:rsid w:val="005070CC"/>
    <w:rsid w:val="00515270"/>
    <w:rsid w:val="00515644"/>
    <w:rsid w:val="00524E53"/>
    <w:rsid w:val="00533E0C"/>
    <w:rsid w:val="00537B91"/>
    <w:rsid w:val="005578BF"/>
    <w:rsid w:val="00564FC9"/>
    <w:rsid w:val="00583866"/>
    <w:rsid w:val="00585B6E"/>
    <w:rsid w:val="00591FD5"/>
    <w:rsid w:val="005A6873"/>
    <w:rsid w:val="005B2ED7"/>
    <w:rsid w:val="005B6C2B"/>
    <w:rsid w:val="005F058F"/>
    <w:rsid w:val="005F775D"/>
    <w:rsid w:val="005F7965"/>
    <w:rsid w:val="0061050D"/>
    <w:rsid w:val="00611D58"/>
    <w:rsid w:val="00623763"/>
    <w:rsid w:val="0063400C"/>
    <w:rsid w:val="006347CD"/>
    <w:rsid w:val="00653C40"/>
    <w:rsid w:val="00664215"/>
    <w:rsid w:val="006711A0"/>
    <w:rsid w:val="0068136B"/>
    <w:rsid w:val="006858F2"/>
    <w:rsid w:val="00695E97"/>
    <w:rsid w:val="006A77EA"/>
    <w:rsid w:val="006B54BF"/>
    <w:rsid w:val="006C280B"/>
    <w:rsid w:val="006E2067"/>
    <w:rsid w:val="006E6395"/>
    <w:rsid w:val="006F2F43"/>
    <w:rsid w:val="006F563E"/>
    <w:rsid w:val="00700DA2"/>
    <w:rsid w:val="00707BFC"/>
    <w:rsid w:val="007106F8"/>
    <w:rsid w:val="00717124"/>
    <w:rsid w:val="007211DB"/>
    <w:rsid w:val="00721C7C"/>
    <w:rsid w:val="00726FC7"/>
    <w:rsid w:val="00733E90"/>
    <w:rsid w:val="00737F1C"/>
    <w:rsid w:val="007410D5"/>
    <w:rsid w:val="00750658"/>
    <w:rsid w:val="00750E63"/>
    <w:rsid w:val="007634D8"/>
    <w:rsid w:val="00765909"/>
    <w:rsid w:val="00766E36"/>
    <w:rsid w:val="0077423B"/>
    <w:rsid w:val="0078518E"/>
    <w:rsid w:val="00792107"/>
    <w:rsid w:val="00793FC2"/>
    <w:rsid w:val="00795C7B"/>
    <w:rsid w:val="00796DCE"/>
    <w:rsid w:val="007A2F3B"/>
    <w:rsid w:val="007A3C73"/>
    <w:rsid w:val="007B1225"/>
    <w:rsid w:val="007B1EF8"/>
    <w:rsid w:val="007B7086"/>
    <w:rsid w:val="007C0DC3"/>
    <w:rsid w:val="007C5CEA"/>
    <w:rsid w:val="007C6573"/>
    <w:rsid w:val="007C6BDA"/>
    <w:rsid w:val="007D2A81"/>
    <w:rsid w:val="007D7AF6"/>
    <w:rsid w:val="007F0986"/>
    <w:rsid w:val="0080088B"/>
    <w:rsid w:val="008037FE"/>
    <w:rsid w:val="00804584"/>
    <w:rsid w:val="008274EA"/>
    <w:rsid w:val="00827C4A"/>
    <w:rsid w:val="00834EE7"/>
    <w:rsid w:val="00865C79"/>
    <w:rsid w:val="00882EDF"/>
    <w:rsid w:val="0088666A"/>
    <w:rsid w:val="008873E3"/>
    <w:rsid w:val="008A0545"/>
    <w:rsid w:val="008A078A"/>
    <w:rsid w:val="008C4D6D"/>
    <w:rsid w:val="008C69F5"/>
    <w:rsid w:val="008D2C4B"/>
    <w:rsid w:val="008E507B"/>
    <w:rsid w:val="008E728F"/>
    <w:rsid w:val="008F11AF"/>
    <w:rsid w:val="008F2587"/>
    <w:rsid w:val="00900ED8"/>
    <w:rsid w:val="009067FF"/>
    <w:rsid w:val="009117F2"/>
    <w:rsid w:val="0092576E"/>
    <w:rsid w:val="00925907"/>
    <w:rsid w:val="00937489"/>
    <w:rsid w:val="00946F4D"/>
    <w:rsid w:val="009569E1"/>
    <w:rsid w:val="00957BDC"/>
    <w:rsid w:val="00957E8F"/>
    <w:rsid w:val="00966E50"/>
    <w:rsid w:val="00972B8F"/>
    <w:rsid w:val="00975457"/>
    <w:rsid w:val="00976586"/>
    <w:rsid w:val="009862B0"/>
    <w:rsid w:val="00996FFE"/>
    <w:rsid w:val="009A40C4"/>
    <w:rsid w:val="009A460A"/>
    <w:rsid w:val="009B15C0"/>
    <w:rsid w:val="009C0EC2"/>
    <w:rsid w:val="009C22B2"/>
    <w:rsid w:val="009D3000"/>
    <w:rsid w:val="009E3201"/>
    <w:rsid w:val="009E6BEB"/>
    <w:rsid w:val="009F275D"/>
    <w:rsid w:val="00A05547"/>
    <w:rsid w:val="00A05FD5"/>
    <w:rsid w:val="00A25C8E"/>
    <w:rsid w:val="00A32E88"/>
    <w:rsid w:val="00A33A95"/>
    <w:rsid w:val="00A3767D"/>
    <w:rsid w:val="00A406F3"/>
    <w:rsid w:val="00A52F6E"/>
    <w:rsid w:val="00A538C3"/>
    <w:rsid w:val="00A57662"/>
    <w:rsid w:val="00A63AC2"/>
    <w:rsid w:val="00A644F0"/>
    <w:rsid w:val="00A658C9"/>
    <w:rsid w:val="00A6616C"/>
    <w:rsid w:val="00A71BC9"/>
    <w:rsid w:val="00A96419"/>
    <w:rsid w:val="00AA1171"/>
    <w:rsid w:val="00AA216C"/>
    <w:rsid w:val="00AB306D"/>
    <w:rsid w:val="00AC3146"/>
    <w:rsid w:val="00AC5013"/>
    <w:rsid w:val="00AF3CAA"/>
    <w:rsid w:val="00AF6555"/>
    <w:rsid w:val="00B01727"/>
    <w:rsid w:val="00B039CB"/>
    <w:rsid w:val="00B24E65"/>
    <w:rsid w:val="00B27F76"/>
    <w:rsid w:val="00B309D6"/>
    <w:rsid w:val="00B3238E"/>
    <w:rsid w:val="00B351FC"/>
    <w:rsid w:val="00B53368"/>
    <w:rsid w:val="00B638E3"/>
    <w:rsid w:val="00B74B8A"/>
    <w:rsid w:val="00B75A81"/>
    <w:rsid w:val="00B805DB"/>
    <w:rsid w:val="00B87680"/>
    <w:rsid w:val="00B877B3"/>
    <w:rsid w:val="00B921C7"/>
    <w:rsid w:val="00B960E2"/>
    <w:rsid w:val="00B965AC"/>
    <w:rsid w:val="00BA4E3C"/>
    <w:rsid w:val="00BA6B46"/>
    <w:rsid w:val="00BB3A5F"/>
    <w:rsid w:val="00BB6F09"/>
    <w:rsid w:val="00BB7536"/>
    <w:rsid w:val="00BC1D77"/>
    <w:rsid w:val="00BC3DC8"/>
    <w:rsid w:val="00BC464F"/>
    <w:rsid w:val="00BC562A"/>
    <w:rsid w:val="00BC5B2B"/>
    <w:rsid w:val="00BC6470"/>
    <w:rsid w:val="00BC7A37"/>
    <w:rsid w:val="00BD2E91"/>
    <w:rsid w:val="00BD59FA"/>
    <w:rsid w:val="00BF04B3"/>
    <w:rsid w:val="00BF1206"/>
    <w:rsid w:val="00C00122"/>
    <w:rsid w:val="00C13A5F"/>
    <w:rsid w:val="00C22A2B"/>
    <w:rsid w:val="00C22F99"/>
    <w:rsid w:val="00C37C55"/>
    <w:rsid w:val="00C400A5"/>
    <w:rsid w:val="00C40BDC"/>
    <w:rsid w:val="00C6091A"/>
    <w:rsid w:val="00C67202"/>
    <w:rsid w:val="00C7028D"/>
    <w:rsid w:val="00C725AB"/>
    <w:rsid w:val="00C727BF"/>
    <w:rsid w:val="00C7416E"/>
    <w:rsid w:val="00C7536B"/>
    <w:rsid w:val="00C81799"/>
    <w:rsid w:val="00C82E4C"/>
    <w:rsid w:val="00C914C9"/>
    <w:rsid w:val="00C95ED8"/>
    <w:rsid w:val="00CA23F6"/>
    <w:rsid w:val="00CA71F4"/>
    <w:rsid w:val="00CB03A1"/>
    <w:rsid w:val="00CB3ED8"/>
    <w:rsid w:val="00CB7A9B"/>
    <w:rsid w:val="00CC113C"/>
    <w:rsid w:val="00CC2DF0"/>
    <w:rsid w:val="00CC2F4C"/>
    <w:rsid w:val="00CC2F6B"/>
    <w:rsid w:val="00CC65DA"/>
    <w:rsid w:val="00CC779C"/>
    <w:rsid w:val="00CD5BA9"/>
    <w:rsid w:val="00CE1F05"/>
    <w:rsid w:val="00CF347E"/>
    <w:rsid w:val="00CF5E96"/>
    <w:rsid w:val="00D17C3F"/>
    <w:rsid w:val="00D264E1"/>
    <w:rsid w:val="00D339E7"/>
    <w:rsid w:val="00D36299"/>
    <w:rsid w:val="00D36D73"/>
    <w:rsid w:val="00D378CC"/>
    <w:rsid w:val="00D37E53"/>
    <w:rsid w:val="00D46403"/>
    <w:rsid w:val="00D5566E"/>
    <w:rsid w:val="00D65A93"/>
    <w:rsid w:val="00D77049"/>
    <w:rsid w:val="00D813D3"/>
    <w:rsid w:val="00D82B95"/>
    <w:rsid w:val="00D87C76"/>
    <w:rsid w:val="00D96A1D"/>
    <w:rsid w:val="00DA79AC"/>
    <w:rsid w:val="00DB43EE"/>
    <w:rsid w:val="00DD4605"/>
    <w:rsid w:val="00DE2E22"/>
    <w:rsid w:val="00DE3173"/>
    <w:rsid w:val="00DE6CC0"/>
    <w:rsid w:val="00DE6F83"/>
    <w:rsid w:val="00DE7998"/>
    <w:rsid w:val="00E04727"/>
    <w:rsid w:val="00E06FC6"/>
    <w:rsid w:val="00E12524"/>
    <w:rsid w:val="00E274A3"/>
    <w:rsid w:val="00E30FF7"/>
    <w:rsid w:val="00E32645"/>
    <w:rsid w:val="00E33B8B"/>
    <w:rsid w:val="00E41805"/>
    <w:rsid w:val="00E455BB"/>
    <w:rsid w:val="00E51A0D"/>
    <w:rsid w:val="00E5511E"/>
    <w:rsid w:val="00E63370"/>
    <w:rsid w:val="00E6646A"/>
    <w:rsid w:val="00E711CB"/>
    <w:rsid w:val="00E74FF9"/>
    <w:rsid w:val="00E900AC"/>
    <w:rsid w:val="00E95DDC"/>
    <w:rsid w:val="00E95FE1"/>
    <w:rsid w:val="00E978CB"/>
    <w:rsid w:val="00EA01EC"/>
    <w:rsid w:val="00EA0AD9"/>
    <w:rsid w:val="00EA2265"/>
    <w:rsid w:val="00EB63CF"/>
    <w:rsid w:val="00EC50EC"/>
    <w:rsid w:val="00EC6605"/>
    <w:rsid w:val="00ED6745"/>
    <w:rsid w:val="00EF6CD5"/>
    <w:rsid w:val="00F00F63"/>
    <w:rsid w:val="00F15BA9"/>
    <w:rsid w:val="00F17B58"/>
    <w:rsid w:val="00F22DD1"/>
    <w:rsid w:val="00F30E44"/>
    <w:rsid w:val="00F51115"/>
    <w:rsid w:val="00F5280F"/>
    <w:rsid w:val="00F5779E"/>
    <w:rsid w:val="00F61E1E"/>
    <w:rsid w:val="00F630B6"/>
    <w:rsid w:val="00F74B64"/>
    <w:rsid w:val="00F74F70"/>
    <w:rsid w:val="00F8124A"/>
    <w:rsid w:val="00F818FB"/>
    <w:rsid w:val="00FB384D"/>
    <w:rsid w:val="00FB5BBA"/>
    <w:rsid w:val="00FB7AF0"/>
    <w:rsid w:val="00FC25D5"/>
    <w:rsid w:val="00FD6E46"/>
    <w:rsid w:val="00FE42E2"/>
    <w:rsid w:val="00FF08D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2587"/>
    <w:rPr>
      <w:rFonts w:ascii="Arial" w:hAnsi="Arial" w:cs="Arial"/>
      <w:sz w:val="24"/>
      <w:szCs w:val="24"/>
      <w:lang w:val="en-GB"/>
    </w:rPr>
  </w:style>
  <w:style w:type="paragraph" w:styleId="Heading1">
    <w:name w:val="heading 1"/>
    <w:basedOn w:val="Heading2"/>
    <w:next w:val="Normal"/>
    <w:link w:val="Heading1Char"/>
    <w:uiPriority w:val="99"/>
    <w:qFormat/>
    <w:rsid w:val="00B805DB"/>
    <w:pPr>
      <w:outlineLvl w:val="0"/>
    </w:pPr>
    <w:rPr>
      <w:rFonts w:ascii="Arial Black" w:hAnsi="Arial Black" w:cs="Arial Black"/>
      <w:b w:val="0"/>
      <w:bCs w:val="0"/>
      <w:sz w:val="32"/>
      <w:szCs w:val="32"/>
    </w:rPr>
  </w:style>
  <w:style w:type="paragraph" w:styleId="Heading2">
    <w:name w:val="heading 2"/>
    <w:basedOn w:val="Normal"/>
    <w:next w:val="Normal"/>
    <w:link w:val="Heading2Char"/>
    <w:uiPriority w:val="99"/>
    <w:qFormat/>
    <w:rsid w:val="008F2587"/>
    <w:pPr>
      <w:outlineLvl w:val="1"/>
    </w:pPr>
    <w:rPr>
      <w:b/>
      <w:bCs/>
      <w:sz w:val="28"/>
      <w:szCs w:val="28"/>
    </w:rPr>
  </w:style>
  <w:style w:type="paragraph" w:styleId="Heading3">
    <w:name w:val="heading 3"/>
    <w:basedOn w:val="Normal"/>
    <w:next w:val="Normal"/>
    <w:link w:val="Heading3Char"/>
    <w:uiPriority w:val="99"/>
    <w:qFormat/>
    <w:rsid w:val="008F2587"/>
    <w:pPr>
      <w:ind w:left="720" w:hanging="720"/>
      <w:jc w:val="both"/>
      <w:outlineLvl w:val="2"/>
    </w:pPr>
    <w:rPr>
      <w:b/>
      <w:bCs/>
      <w:i/>
      <w:iCs/>
    </w:rPr>
  </w:style>
  <w:style w:type="paragraph" w:styleId="Heading4">
    <w:name w:val="heading 4"/>
    <w:basedOn w:val="Normal"/>
    <w:next w:val="Normal"/>
    <w:link w:val="Heading4Char"/>
    <w:uiPriority w:val="99"/>
    <w:qFormat/>
    <w:rsid w:val="008F2587"/>
    <w:pPr>
      <w:keepNext/>
      <w:outlineLvl w:val="3"/>
    </w:pPr>
    <w:rPr>
      <w:b/>
      <w:bCs/>
    </w:rPr>
  </w:style>
  <w:style w:type="paragraph" w:styleId="Heading5">
    <w:name w:val="heading 5"/>
    <w:basedOn w:val="Normal"/>
    <w:next w:val="Normal"/>
    <w:link w:val="Heading5Char"/>
    <w:uiPriority w:val="99"/>
    <w:qFormat/>
    <w:rsid w:val="008F2587"/>
    <w:pPr>
      <w:keepNext/>
      <w:outlineLvl w:val="4"/>
    </w:pPr>
    <w:rPr>
      <w:sz w:val="28"/>
      <w:szCs w:val="28"/>
    </w:rPr>
  </w:style>
  <w:style w:type="paragraph" w:styleId="Heading6">
    <w:name w:val="heading 6"/>
    <w:basedOn w:val="Normal"/>
    <w:next w:val="Normal"/>
    <w:link w:val="Heading6Char"/>
    <w:uiPriority w:val="99"/>
    <w:qFormat/>
    <w:rsid w:val="008F2587"/>
    <w:pPr>
      <w:keepNext/>
      <w:ind w:left="720" w:hanging="720"/>
      <w:outlineLvl w:val="5"/>
    </w:pPr>
    <w:rPr>
      <w:b/>
      <w:bCs/>
      <w:sz w:val="28"/>
      <w:szCs w:val="28"/>
    </w:rPr>
  </w:style>
  <w:style w:type="paragraph" w:styleId="Heading7">
    <w:name w:val="heading 7"/>
    <w:basedOn w:val="Normal"/>
    <w:next w:val="Normal"/>
    <w:link w:val="Heading7Char"/>
    <w:uiPriority w:val="99"/>
    <w:qFormat/>
    <w:rsid w:val="008F2587"/>
    <w:pPr>
      <w:keepNext/>
      <w:ind w:left="720" w:hanging="720"/>
      <w:jc w:val="both"/>
      <w:outlineLvl w:val="6"/>
    </w:pPr>
    <w:rPr>
      <w:i/>
      <w:iCs/>
    </w:rPr>
  </w:style>
  <w:style w:type="paragraph" w:styleId="Heading8">
    <w:name w:val="heading 8"/>
    <w:basedOn w:val="Normal"/>
    <w:next w:val="Normal"/>
    <w:link w:val="Heading8Char"/>
    <w:uiPriority w:val="99"/>
    <w:qFormat/>
    <w:rsid w:val="008F2587"/>
    <w:pPr>
      <w:keepNext/>
      <w:ind w:left="720" w:hanging="720"/>
      <w:outlineLvl w:val="7"/>
    </w:pPr>
    <w:rPr>
      <w:i/>
      <w:iCs/>
    </w:rPr>
  </w:style>
  <w:style w:type="paragraph" w:styleId="Heading9">
    <w:name w:val="heading 9"/>
    <w:basedOn w:val="Normal"/>
    <w:next w:val="Normal"/>
    <w:link w:val="Heading9Char"/>
    <w:uiPriority w:val="99"/>
    <w:qFormat/>
    <w:rsid w:val="008F2587"/>
    <w:pPr>
      <w:keepNext/>
      <w:ind w:left="720" w:hanging="720"/>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en-GB"/>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lang w:val="en-GB"/>
    </w:rPr>
  </w:style>
  <w:style w:type="character" w:customStyle="1" w:styleId="Heading3Char">
    <w:name w:val="Heading 3 Char"/>
    <w:basedOn w:val="DefaultParagraphFont"/>
    <w:link w:val="Heading3"/>
    <w:uiPriority w:val="99"/>
    <w:locked/>
    <w:rsid w:val="008F2587"/>
    <w:rPr>
      <w:rFonts w:ascii="Arial" w:hAnsi="Arial" w:cs="Arial"/>
      <w:b/>
      <w:bCs/>
      <w:i/>
      <w:iCs/>
      <w:sz w:val="28"/>
      <w:szCs w:val="28"/>
      <w:lang w:val="en-GB" w:eastAsia="en-US"/>
    </w:rPr>
  </w:style>
  <w:style w:type="character" w:customStyle="1" w:styleId="Heading4Char">
    <w:name w:val="Heading 4 Char"/>
    <w:basedOn w:val="DefaultParagraphFont"/>
    <w:link w:val="Heading4"/>
    <w:uiPriority w:val="99"/>
    <w:semiHidden/>
    <w:locked/>
    <w:rPr>
      <w:rFonts w:ascii="Calibri" w:hAnsi="Calibri" w:cs="Calibri"/>
      <w:b/>
      <w:bCs/>
      <w:sz w:val="28"/>
      <w:szCs w:val="28"/>
      <w:lang w:val="en-GB"/>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lang w:val="en-GB"/>
    </w:rPr>
  </w:style>
  <w:style w:type="character" w:customStyle="1" w:styleId="Heading6Char">
    <w:name w:val="Heading 6 Char"/>
    <w:basedOn w:val="DefaultParagraphFont"/>
    <w:link w:val="Heading6"/>
    <w:uiPriority w:val="99"/>
    <w:semiHidden/>
    <w:locked/>
    <w:rPr>
      <w:rFonts w:ascii="Calibri" w:hAnsi="Calibri" w:cs="Calibri"/>
      <w:b/>
      <w:bCs/>
      <w:lang w:val="en-GB"/>
    </w:rPr>
  </w:style>
  <w:style w:type="character" w:customStyle="1" w:styleId="Heading7Char">
    <w:name w:val="Heading 7 Char"/>
    <w:basedOn w:val="DefaultParagraphFont"/>
    <w:link w:val="Heading7"/>
    <w:uiPriority w:val="99"/>
    <w:semiHidden/>
    <w:locked/>
    <w:rPr>
      <w:rFonts w:ascii="Calibri" w:hAnsi="Calibri" w:cs="Calibri"/>
      <w:sz w:val="24"/>
      <w:szCs w:val="24"/>
      <w:lang w:val="en-GB"/>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en-GB"/>
    </w:rPr>
  </w:style>
  <w:style w:type="character" w:customStyle="1" w:styleId="Heading9Char">
    <w:name w:val="Heading 9 Char"/>
    <w:basedOn w:val="DefaultParagraphFont"/>
    <w:link w:val="Heading9"/>
    <w:uiPriority w:val="99"/>
    <w:semiHidden/>
    <w:locked/>
    <w:rPr>
      <w:rFonts w:ascii="Cambria" w:hAnsi="Cambria" w:cs="Cambria"/>
      <w:lang w:val="en-GB"/>
    </w:rPr>
  </w:style>
  <w:style w:type="paragraph" w:styleId="Footer">
    <w:name w:val="footer"/>
    <w:basedOn w:val="Normal"/>
    <w:link w:val="FooterChar"/>
    <w:uiPriority w:val="99"/>
    <w:rsid w:val="008F2587"/>
    <w:pPr>
      <w:tabs>
        <w:tab w:val="center" w:pos="4153"/>
        <w:tab w:val="right" w:pos="8306"/>
      </w:tabs>
    </w:pPr>
    <w:rPr>
      <w:lang w:val="en-US"/>
    </w:rPr>
  </w:style>
  <w:style w:type="character" w:customStyle="1" w:styleId="FooterChar">
    <w:name w:val="Footer Char"/>
    <w:basedOn w:val="DefaultParagraphFont"/>
    <w:link w:val="Footer"/>
    <w:uiPriority w:val="99"/>
    <w:locked/>
    <w:rsid w:val="00946F4D"/>
    <w:rPr>
      <w:rFonts w:ascii="Arial" w:hAnsi="Arial" w:cs="Arial"/>
      <w:sz w:val="24"/>
      <w:szCs w:val="24"/>
      <w:lang w:val="en-US" w:eastAsia="en-US"/>
    </w:rPr>
  </w:style>
  <w:style w:type="paragraph" w:styleId="BodyText">
    <w:name w:val="Body Text"/>
    <w:basedOn w:val="Normal"/>
    <w:link w:val="BodyTextChar"/>
    <w:uiPriority w:val="99"/>
    <w:rsid w:val="008F2587"/>
    <w:rPr>
      <w:i/>
      <w:iCs/>
    </w:rPr>
  </w:style>
  <w:style w:type="character" w:customStyle="1" w:styleId="BodyTextChar">
    <w:name w:val="Body Text Char"/>
    <w:basedOn w:val="DefaultParagraphFont"/>
    <w:link w:val="BodyText"/>
    <w:uiPriority w:val="99"/>
    <w:semiHidden/>
    <w:locked/>
    <w:rPr>
      <w:rFonts w:ascii="Arial" w:hAnsi="Arial" w:cs="Arial"/>
      <w:sz w:val="24"/>
      <w:szCs w:val="24"/>
      <w:lang w:val="en-GB"/>
    </w:rPr>
  </w:style>
  <w:style w:type="paragraph" w:styleId="DocumentMap">
    <w:name w:val="Document Map"/>
    <w:basedOn w:val="Normal"/>
    <w:link w:val="DocumentMapChar"/>
    <w:uiPriority w:val="99"/>
    <w:semiHidden/>
    <w:rsid w:val="008F2587"/>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cs="Times New Roman"/>
      <w:sz w:val="2"/>
      <w:szCs w:val="2"/>
      <w:lang w:val="en-GB"/>
    </w:rPr>
  </w:style>
  <w:style w:type="paragraph" w:customStyle="1" w:styleId="Style12ptJustified">
    <w:name w:val="Style 12 pt Justified"/>
    <w:basedOn w:val="Normal"/>
    <w:uiPriority w:val="99"/>
    <w:rsid w:val="008F2587"/>
  </w:style>
  <w:style w:type="paragraph" w:customStyle="1" w:styleId="Style12ptLinespacing15lines">
    <w:name w:val="Style 12 pt Line spacing:  1.5 lines"/>
    <w:basedOn w:val="Normal"/>
    <w:uiPriority w:val="99"/>
    <w:rsid w:val="008F2587"/>
  </w:style>
  <w:style w:type="paragraph" w:customStyle="1" w:styleId="Infotext">
    <w:name w:val="Info text"/>
    <w:basedOn w:val="Normal"/>
    <w:uiPriority w:val="99"/>
    <w:rsid w:val="008F2587"/>
    <w:rPr>
      <w:sz w:val="28"/>
      <w:szCs w:val="28"/>
    </w:rPr>
  </w:style>
  <w:style w:type="paragraph" w:customStyle="1" w:styleId="Style12ptJustified1">
    <w:name w:val="Style 12 pt Justified1"/>
    <w:basedOn w:val="Normal"/>
    <w:uiPriority w:val="99"/>
    <w:rsid w:val="008F2587"/>
  </w:style>
  <w:style w:type="paragraph" w:customStyle="1" w:styleId="Style12ptJustified2">
    <w:name w:val="Style 12 pt Justified2"/>
    <w:basedOn w:val="Normal"/>
    <w:uiPriority w:val="99"/>
    <w:rsid w:val="008F2587"/>
  </w:style>
  <w:style w:type="paragraph" w:customStyle="1" w:styleId="Style12ptJustified3">
    <w:name w:val="Style 12 pt Justified3"/>
    <w:basedOn w:val="Normal"/>
    <w:uiPriority w:val="99"/>
    <w:rsid w:val="008F2587"/>
  </w:style>
  <w:style w:type="paragraph" w:styleId="BalloonText">
    <w:name w:val="Balloon Text"/>
    <w:basedOn w:val="Normal"/>
    <w:link w:val="BalloonTextChar"/>
    <w:uiPriority w:val="99"/>
    <w:semiHidden/>
    <w:rsid w:val="008F258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szCs w:val="2"/>
      <w:lang w:val="en-GB"/>
    </w:rPr>
  </w:style>
  <w:style w:type="paragraph" w:customStyle="1" w:styleId="StyleJustified">
    <w:name w:val="Style Justified"/>
    <w:basedOn w:val="Normal"/>
    <w:next w:val="Normal"/>
    <w:uiPriority w:val="99"/>
    <w:rsid w:val="008F2587"/>
  </w:style>
  <w:style w:type="paragraph" w:styleId="Header">
    <w:name w:val="header"/>
    <w:basedOn w:val="Normal"/>
    <w:link w:val="HeaderChar"/>
    <w:uiPriority w:val="99"/>
    <w:rsid w:val="008F2587"/>
    <w:pPr>
      <w:tabs>
        <w:tab w:val="center" w:pos="4153"/>
        <w:tab w:val="right" w:pos="8306"/>
      </w:tabs>
    </w:pPr>
    <w:rPr>
      <w:lang w:val="en-US"/>
    </w:rPr>
  </w:style>
  <w:style w:type="character" w:customStyle="1" w:styleId="HeaderChar">
    <w:name w:val="Header Char"/>
    <w:basedOn w:val="DefaultParagraphFont"/>
    <w:link w:val="Header"/>
    <w:uiPriority w:val="99"/>
    <w:locked/>
    <w:rsid w:val="00DE3173"/>
    <w:rPr>
      <w:rFonts w:ascii="Arial" w:hAnsi="Arial" w:cs="Arial"/>
      <w:sz w:val="24"/>
      <w:szCs w:val="24"/>
      <w:lang w:eastAsia="en-US"/>
    </w:rPr>
  </w:style>
  <w:style w:type="paragraph" w:customStyle="1" w:styleId="CharCharCharChar2">
    <w:name w:val="Char Char Char Char2"/>
    <w:basedOn w:val="Normal"/>
    <w:uiPriority w:val="99"/>
    <w:locked/>
    <w:rsid w:val="00B27F76"/>
    <w:pPr>
      <w:spacing w:after="160" w:line="240" w:lineRule="exact"/>
    </w:pPr>
    <w:rPr>
      <w:rFonts w:ascii="Verdana" w:eastAsia="MS ??" w:hAnsi="Verdana" w:cs="Verdana"/>
      <w:sz w:val="20"/>
      <w:szCs w:val="20"/>
      <w:lang w:val="en-US"/>
    </w:rPr>
  </w:style>
  <w:style w:type="paragraph" w:styleId="BodyText3">
    <w:name w:val="Body Text 3"/>
    <w:basedOn w:val="Normal"/>
    <w:link w:val="BodyText3Char"/>
    <w:uiPriority w:val="99"/>
    <w:rsid w:val="00C37C55"/>
    <w:pPr>
      <w:spacing w:after="120"/>
    </w:pPr>
    <w:rPr>
      <w:sz w:val="16"/>
      <w:szCs w:val="16"/>
      <w:lang w:val="en-US"/>
    </w:rPr>
  </w:style>
  <w:style w:type="character" w:customStyle="1" w:styleId="BodyText3Char">
    <w:name w:val="Body Text 3 Char"/>
    <w:basedOn w:val="DefaultParagraphFont"/>
    <w:link w:val="BodyText3"/>
    <w:uiPriority w:val="99"/>
    <w:locked/>
    <w:rsid w:val="00C37C55"/>
    <w:rPr>
      <w:rFonts w:ascii="Arial" w:hAnsi="Arial" w:cs="Arial"/>
      <w:sz w:val="16"/>
      <w:szCs w:val="16"/>
      <w:lang w:eastAsia="en-US"/>
    </w:rPr>
  </w:style>
  <w:style w:type="character" w:styleId="Hyperlink">
    <w:name w:val="Hyperlink"/>
    <w:basedOn w:val="DefaultParagraphFont"/>
    <w:uiPriority w:val="99"/>
    <w:rsid w:val="00067A2E"/>
    <w:rPr>
      <w:rFonts w:cs="Times New Roman"/>
      <w:color w:val="0000FF"/>
      <w:u w:val="single"/>
    </w:rPr>
  </w:style>
  <w:style w:type="paragraph" w:customStyle="1" w:styleId="CharCharCharCharCharCharCharChar">
    <w:name w:val="Char Char Char Char Char Char Char Char"/>
    <w:basedOn w:val="Normal"/>
    <w:uiPriority w:val="99"/>
    <w:rsid w:val="004709BE"/>
    <w:pPr>
      <w:spacing w:after="160" w:line="240" w:lineRule="exact"/>
    </w:pPr>
  </w:style>
  <w:style w:type="character" w:styleId="FollowedHyperlink">
    <w:name w:val="FollowedHyperlink"/>
    <w:basedOn w:val="DefaultParagraphFont"/>
    <w:uiPriority w:val="99"/>
    <w:rsid w:val="003F4EF0"/>
    <w:rPr>
      <w:rFonts w:cs="Times New Roman"/>
      <w:color w:val="800080"/>
      <w:u w:val="single"/>
    </w:rPr>
  </w:style>
  <w:style w:type="paragraph" w:styleId="ListParagraph">
    <w:name w:val="List Paragraph"/>
    <w:basedOn w:val="Normal"/>
    <w:uiPriority w:val="99"/>
    <w:qFormat/>
    <w:rsid w:val="00B960E2"/>
    <w:pPr>
      <w:ind w:left="720"/>
    </w:pPr>
  </w:style>
  <w:style w:type="paragraph" w:customStyle="1" w:styleId="CharCharCharChar">
    <w:name w:val="Char Char Char Char"/>
    <w:basedOn w:val="Normal"/>
    <w:uiPriority w:val="99"/>
    <w:locked/>
    <w:rsid w:val="00533E0C"/>
    <w:pPr>
      <w:spacing w:after="160" w:line="240" w:lineRule="exact"/>
    </w:pPr>
    <w:rPr>
      <w:rFonts w:ascii="Verdana" w:hAnsi="Verdana" w:cs="Verdana"/>
      <w:sz w:val="20"/>
      <w:szCs w:val="20"/>
      <w:lang w:val="en-US"/>
    </w:rPr>
  </w:style>
  <w:style w:type="character" w:styleId="CommentReference">
    <w:name w:val="annotation reference"/>
    <w:basedOn w:val="DefaultParagraphFont"/>
    <w:uiPriority w:val="99"/>
    <w:semiHidden/>
    <w:rsid w:val="00DE6CC0"/>
    <w:rPr>
      <w:rFonts w:cs="Times New Roman"/>
      <w:sz w:val="16"/>
      <w:szCs w:val="16"/>
    </w:rPr>
  </w:style>
  <w:style w:type="paragraph" w:styleId="CommentText">
    <w:name w:val="annotation text"/>
    <w:basedOn w:val="Normal"/>
    <w:link w:val="CommentTextChar"/>
    <w:uiPriority w:val="99"/>
    <w:semiHidden/>
    <w:rsid w:val="00DE6CC0"/>
    <w:rPr>
      <w:sz w:val="20"/>
      <w:szCs w:val="20"/>
    </w:rPr>
  </w:style>
  <w:style w:type="character" w:customStyle="1" w:styleId="CommentTextChar">
    <w:name w:val="Comment Text Char"/>
    <w:basedOn w:val="DefaultParagraphFont"/>
    <w:link w:val="CommentText"/>
    <w:uiPriority w:val="99"/>
    <w:locked/>
    <w:rsid w:val="00DE6CC0"/>
    <w:rPr>
      <w:rFonts w:ascii="Arial" w:hAnsi="Arial" w:cs="Arial"/>
      <w:lang w:eastAsia="en-US"/>
    </w:rPr>
  </w:style>
  <w:style w:type="paragraph" w:styleId="CommentSubject">
    <w:name w:val="annotation subject"/>
    <w:basedOn w:val="CommentText"/>
    <w:next w:val="CommentText"/>
    <w:link w:val="CommentSubjectChar"/>
    <w:uiPriority w:val="99"/>
    <w:semiHidden/>
    <w:rsid w:val="00DE6CC0"/>
    <w:rPr>
      <w:b/>
      <w:bCs/>
    </w:rPr>
  </w:style>
  <w:style w:type="character" w:customStyle="1" w:styleId="CommentSubjectChar">
    <w:name w:val="Comment Subject Char"/>
    <w:basedOn w:val="CommentTextChar"/>
    <w:link w:val="CommentSubject"/>
    <w:uiPriority w:val="99"/>
    <w:locked/>
    <w:rsid w:val="00DE6CC0"/>
    <w:rPr>
      <w:b/>
      <w:bCs/>
    </w:rPr>
  </w:style>
</w:styles>
</file>

<file path=word/webSettings.xml><?xml version="1.0" encoding="utf-8"?>
<w:webSettings xmlns:r="http://schemas.openxmlformats.org/officeDocument/2006/relationships" xmlns:w="http://schemas.openxmlformats.org/wordprocessingml/2006/main">
  <w:divs>
    <w:div w:id="655229315">
      <w:marLeft w:val="0"/>
      <w:marRight w:val="0"/>
      <w:marTop w:val="0"/>
      <w:marBottom w:val="0"/>
      <w:divBdr>
        <w:top w:val="none" w:sz="0" w:space="0" w:color="auto"/>
        <w:left w:val="none" w:sz="0" w:space="0" w:color="auto"/>
        <w:bottom w:val="none" w:sz="0" w:space="0" w:color="auto"/>
        <w:right w:val="none" w:sz="0" w:space="0" w:color="auto"/>
      </w:divBdr>
    </w:div>
    <w:div w:id="655229316">
      <w:marLeft w:val="0"/>
      <w:marRight w:val="0"/>
      <w:marTop w:val="0"/>
      <w:marBottom w:val="0"/>
      <w:divBdr>
        <w:top w:val="none" w:sz="0" w:space="0" w:color="auto"/>
        <w:left w:val="none" w:sz="0" w:space="0" w:color="auto"/>
        <w:bottom w:val="none" w:sz="0" w:space="0" w:color="auto"/>
        <w:right w:val="none" w:sz="0" w:space="0" w:color="auto"/>
      </w:divBdr>
    </w:div>
    <w:div w:id="655229317">
      <w:marLeft w:val="0"/>
      <w:marRight w:val="0"/>
      <w:marTop w:val="0"/>
      <w:marBottom w:val="0"/>
      <w:divBdr>
        <w:top w:val="none" w:sz="0" w:space="0" w:color="auto"/>
        <w:left w:val="none" w:sz="0" w:space="0" w:color="auto"/>
        <w:bottom w:val="none" w:sz="0" w:space="0" w:color="auto"/>
        <w:right w:val="none" w:sz="0" w:space="0" w:color="auto"/>
      </w:divBdr>
    </w:div>
    <w:div w:id="655229318">
      <w:marLeft w:val="0"/>
      <w:marRight w:val="0"/>
      <w:marTop w:val="0"/>
      <w:marBottom w:val="0"/>
      <w:divBdr>
        <w:top w:val="none" w:sz="0" w:space="0" w:color="auto"/>
        <w:left w:val="none" w:sz="0" w:space="0" w:color="auto"/>
        <w:bottom w:val="none" w:sz="0" w:space="0" w:color="auto"/>
        <w:right w:val="none" w:sz="0" w:space="0" w:color="auto"/>
      </w:divBdr>
    </w:div>
    <w:div w:id="655229319">
      <w:marLeft w:val="0"/>
      <w:marRight w:val="0"/>
      <w:marTop w:val="0"/>
      <w:marBottom w:val="0"/>
      <w:divBdr>
        <w:top w:val="none" w:sz="0" w:space="0" w:color="auto"/>
        <w:left w:val="none" w:sz="0" w:space="0" w:color="auto"/>
        <w:bottom w:val="none" w:sz="0" w:space="0" w:color="auto"/>
        <w:right w:val="none" w:sz="0" w:space="0" w:color="auto"/>
      </w:divBdr>
    </w:div>
    <w:div w:id="655229320">
      <w:marLeft w:val="0"/>
      <w:marRight w:val="0"/>
      <w:marTop w:val="0"/>
      <w:marBottom w:val="0"/>
      <w:divBdr>
        <w:top w:val="none" w:sz="0" w:space="0" w:color="auto"/>
        <w:left w:val="none" w:sz="0" w:space="0" w:color="auto"/>
        <w:bottom w:val="none" w:sz="0" w:space="0" w:color="auto"/>
        <w:right w:val="none" w:sz="0" w:space="0" w:color="auto"/>
      </w:divBdr>
    </w:div>
    <w:div w:id="655229321">
      <w:marLeft w:val="0"/>
      <w:marRight w:val="0"/>
      <w:marTop w:val="0"/>
      <w:marBottom w:val="0"/>
      <w:divBdr>
        <w:top w:val="none" w:sz="0" w:space="0" w:color="auto"/>
        <w:left w:val="none" w:sz="0" w:space="0" w:color="auto"/>
        <w:bottom w:val="none" w:sz="0" w:space="0" w:color="auto"/>
        <w:right w:val="none" w:sz="0" w:space="0" w:color="auto"/>
      </w:divBdr>
    </w:div>
    <w:div w:id="655229322">
      <w:marLeft w:val="0"/>
      <w:marRight w:val="0"/>
      <w:marTop w:val="0"/>
      <w:marBottom w:val="0"/>
      <w:divBdr>
        <w:top w:val="none" w:sz="0" w:space="0" w:color="auto"/>
        <w:left w:val="none" w:sz="0" w:space="0" w:color="auto"/>
        <w:bottom w:val="none" w:sz="0" w:space="0" w:color="auto"/>
        <w:right w:val="none" w:sz="0" w:space="0" w:color="auto"/>
      </w:divBdr>
    </w:div>
    <w:div w:id="655229323">
      <w:marLeft w:val="0"/>
      <w:marRight w:val="0"/>
      <w:marTop w:val="0"/>
      <w:marBottom w:val="0"/>
      <w:divBdr>
        <w:top w:val="none" w:sz="0" w:space="0" w:color="auto"/>
        <w:left w:val="none" w:sz="0" w:space="0" w:color="auto"/>
        <w:bottom w:val="none" w:sz="0" w:space="0" w:color="auto"/>
        <w:right w:val="none" w:sz="0" w:space="0" w:color="auto"/>
      </w:divBdr>
    </w:div>
    <w:div w:id="655229324">
      <w:marLeft w:val="0"/>
      <w:marRight w:val="0"/>
      <w:marTop w:val="0"/>
      <w:marBottom w:val="0"/>
      <w:divBdr>
        <w:top w:val="none" w:sz="0" w:space="0" w:color="auto"/>
        <w:left w:val="none" w:sz="0" w:space="0" w:color="auto"/>
        <w:bottom w:val="none" w:sz="0" w:space="0" w:color="auto"/>
        <w:right w:val="none" w:sz="0" w:space="0" w:color="auto"/>
      </w:divBdr>
    </w:div>
    <w:div w:id="655229325">
      <w:marLeft w:val="0"/>
      <w:marRight w:val="0"/>
      <w:marTop w:val="0"/>
      <w:marBottom w:val="0"/>
      <w:divBdr>
        <w:top w:val="none" w:sz="0" w:space="0" w:color="auto"/>
        <w:left w:val="none" w:sz="0" w:space="0" w:color="auto"/>
        <w:bottom w:val="none" w:sz="0" w:space="0" w:color="auto"/>
        <w:right w:val="none" w:sz="0" w:space="0" w:color="auto"/>
      </w:divBdr>
    </w:div>
    <w:div w:id="655229326">
      <w:marLeft w:val="0"/>
      <w:marRight w:val="0"/>
      <w:marTop w:val="0"/>
      <w:marBottom w:val="0"/>
      <w:divBdr>
        <w:top w:val="none" w:sz="0" w:space="0" w:color="auto"/>
        <w:left w:val="none" w:sz="0" w:space="0" w:color="auto"/>
        <w:bottom w:val="none" w:sz="0" w:space="0" w:color="auto"/>
        <w:right w:val="none" w:sz="0" w:space="0" w:color="auto"/>
      </w:divBdr>
    </w:div>
    <w:div w:id="655229327">
      <w:marLeft w:val="0"/>
      <w:marRight w:val="0"/>
      <w:marTop w:val="0"/>
      <w:marBottom w:val="0"/>
      <w:divBdr>
        <w:top w:val="none" w:sz="0" w:space="0" w:color="auto"/>
        <w:left w:val="none" w:sz="0" w:space="0" w:color="auto"/>
        <w:bottom w:val="none" w:sz="0" w:space="0" w:color="auto"/>
        <w:right w:val="none" w:sz="0" w:space="0" w:color="auto"/>
      </w:divBdr>
    </w:div>
    <w:div w:id="655229328">
      <w:marLeft w:val="0"/>
      <w:marRight w:val="0"/>
      <w:marTop w:val="0"/>
      <w:marBottom w:val="0"/>
      <w:divBdr>
        <w:top w:val="none" w:sz="0" w:space="0" w:color="auto"/>
        <w:left w:val="none" w:sz="0" w:space="0" w:color="auto"/>
        <w:bottom w:val="none" w:sz="0" w:space="0" w:color="auto"/>
        <w:right w:val="none" w:sz="0" w:space="0" w:color="auto"/>
      </w:divBdr>
    </w:div>
    <w:div w:id="655229329">
      <w:marLeft w:val="0"/>
      <w:marRight w:val="0"/>
      <w:marTop w:val="0"/>
      <w:marBottom w:val="0"/>
      <w:divBdr>
        <w:top w:val="none" w:sz="0" w:space="0" w:color="auto"/>
        <w:left w:val="none" w:sz="0" w:space="0" w:color="auto"/>
        <w:bottom w:val="none" w:sz="0" w:space="0" w:color="auto"/>
        <w:right w:val="none" w:sz="0" w:space="0" w:color="auto"/>
      </w:divBdr>
    </w:div>
    <w:div w:id="655229330">
      <w:marLeft w:val="0"/>
      <w:marRight w:val="0"/>
      <w:marTop w:val="0"/>
      <w:marBottom w:val="0"/>
      <w:divBdr>
        <w:top w:val="none" w:sz="0" w:space="0" w:color="auto"/>
        <w:left w:val="none" w:sz="0" w:space="0" w:color="auto"/>
        <w:bottom w:val="none" w:sz="0" w:space="0" w:color="auto"/>
        <w:right w:val="none" w:sz="0" w:space="0" w:color="auto"/>
      </w:divBdr>
    </w:div>
    <w:div w:id="655229331">
      <w:marLeft w:val="0"/>
      <w:marRight w:val="0"/>
      <w:marTop w:val="0"/>
      <w:marBottom w:val="0"/>
      <w:divBdr>
        <w:top w:val="none" w:sz="0" w:space="0" w:color="auto"/>
        <w:left w:val="none" w:sz="0" w:space="0" w:color="auto"/>
        <w:bottom w:val="none" w:sz="0" w:space="0" w:color="auto"/>
        <w:right w:val="none" w:sz="0" w:space="0" w:color="auto"/>
      </w:divBdr>
    </w:div>
    <w:div w:id="655229332">
      <w:marLeft w:val="0"/>
      <w:marRight w:val="0"/>
      <w:marTop w:val="0"/>
      <w:marBottom w:val="0"/>
      <w:divBdr>
        <w:top w:val="none" w:sz="0" w:space="0" w:color="auto"/>
        <w:left w:val="none" w:sz="0" w:space="0" w:color="auto"/>
        <w:bottom w:val="none" w:sz="0" w:space="0" w:color="auto"/>
        <w:right w:val="none" w:sz="0" w:space="0" w:color="auto"/>
      </w:divBdr>
    </w:div>
    <w:div w:id="655229333">
      <w:marLeft w:val="0"/>
      <w:marRight w:val="0"/>
      <w:marTop w:val="0"/>
      <w:marBottom w:val="0"/>
      <w:divBdr>
        <w:top w:val="none" w:sz="0" w:space="0" w:color="auto"/>
        <w:left w:val="none" w:sz="0" w:space="0" w:color="auto"/>
        <w:bottom w:val="none" w:sz="0" w:space="0" w:color="auto"/>
        <w:right w:val="none" w:sz="0" w:space="0" w:color="auto"/>
      </w:divBdr>
    </w:div>
    <w:div w:id="655229334">
      <w:marLeft w:val="0"/>
      <w:marRight w:val="0"/>
      <w:marTop w:val="0"/>
      <w:marBottom w:val="0"/>
      <w:divBdr>
        <w:top w:val="none" w:sz="0" w:space="0" w:color="auto"/>
        <w:left w:val="none" w:sz="0" w:space="0" w:color="auto"/>
        <w:bottom w:val="none" w:sz="0" w:space="0" w:color="auto"/>
        <w:right w:val="none" w:sz="0" w:space="0" w:color="auto"/>
      </w:divBdr>
    </w:div>
    <w:div w:id="655229335">
      <w:marLeft w:val="0"/>
      <w:marRight w:val="0"/>
      <w:marTop w:val="0"/>
      <w:marBottom w:val="0"/>
      <w:divBdr>
        <w:top w:val="none" w:sz="0" w:space="0" w:color="auto"/>
        <w:left w:val="none" w:sz="0" w:space="0" w:color="auto"/>
        <w:bottom w:val="none" w:sz="0" w:space="0" w:color="auto"/>
        <w:right w:val="none" w:sz="0" w:space="0" w:color="auto"/>
      </w:divBdr>
    </w:div>
    <w:div w:id="655229336">
      <w:marLeft w:val="0"/>
      <w:marRight w:val="0"/>
      <w:marTop w:val="0"/>
      <w:marBottom w:val="0"/>
      <w:divBdr>
        <w:top w:val="none" w:sz="0" w:space="0" w:color="auto"/>
        <w:left w:val="none" w:sz="0" w:space="0" w:color="auto"/>
        <w:bottom w:val="none" w:sz="0" w:space="0" w:color="auto"/>
        <w:right w:val="none" w:sz="0" w:space="0" w:color="auto"/>
      </w:divBdr>
    </w:div>
    <w:div w:id="655229337">
      <w:marLeft w:val="0"/>
      <w:marRight w:val="0"/>
      <w:marTop w:val="0"/>
      <w:marBottom w:val="0"/>
      <w:divBdr>
        <w:top w:val="none" w:sz="0" w:space="0" w:color="auto"/>
        <w:left w:val="none" w:sz="0" w:space="0" w:color="auto"/>
        <w:bottom w:val="none" w:sz="0" w:space="0" w:color="auto"/>
        <w:right w:val="none" w:sz="0" w:space="0" w:color="auto"/>
      </w:divBdr>
    </w:div>
    <w:div w:id="655229338">
      <w:marLeft w:val="0"/>
      <w:marRight w:val="0"/>
      <w:marTop w:val="0"/>
      <w:marBottom w:val="0"/>
      <w:divBdr>
        <w:top w:val="none" w:sz="0" w:space="0" w:color="auto"/>
        <w:left w:val="none" w:sz="0" w:space="0" w:color="auto"/>
        <w:bottom w:val="none" w:sz="0" w:space="0" w:color="auto"/>
        <w:right w:val="none" w:sz="0" w:space="0" w:color="auto"/>
      </w:divBdr>
    </w:div>
    <w:div w:id="655229339">
      <w:marLeft w:val="0"/>
      <w:marRight w:val="0"/>
      <w:marTop w:val="0"/>
      <w:marBottom w:val="0"/>
      <w:divBdr>
        <w:top w:val="none" w:sz="0" w:space="0" w:color="auto"/>
        <w:left w:val="none" w:sz="0" w:space="0" w:color="auto"/>
        <w:bottom w:val="none" w:sz="0" w:space="0" w:color="auto"/>
        <w:right w:val="none" w:sz="0" w:space="0" w:color="auto"/>
      </w:divBdr>
    </w:div>
    <w:div w:id="655229340">
      <w:marLeft w:val="0"/>
      <w:marRight w:val="0"/>
      <w:marTop w:val="0"/>
      <w:marBottom w:val="0"/>
      <w:divBdr>
        <w:top w:val="none" w:sz="0" w:space="0" w:color="auto"/>
        <w:left w:val="none" w:sz="0" w:space="0" w:color="auto"/>
        <w:bottom w:val="none" w:sz="0" w:space="0" w:color="auto"/>
        <w:right w:val="none" w:sz="0" w:space="0" w:color="auto"/>
      </w:divBdr>
    </w:div>
    <w:div w:id="655229341">
      <w:marLeft w:val="0"/>
      <w:marRight w:val="0"/>
      <w:marTop w:val="0"/>
      <w:marBottom w:val="0"/>
      <w:divBdr>
        <w:top w:val="none" w:sz="0" w:space="0" w:color="auto"/>
        <w:left w:val="none" w:sz="0" w:space="0" w:color="auto"/>
        <w:bottom w:val="none" w:sz="0" w:space="0" w:color="auto"/>
        <w:right w:val="none" w:sz="0" w:space="0" w:color="auto"/>
      </w:divBdr>
    </w:div>
    <w:div w:id="655229342">
      <w:marLeft w:val="0"/>
      <w:marRight w:val="0"/>
      <w:marTop w:val="0"/>
      <w:marBottom w:val="0"/>
      <w:divBdr>
        <w:top w:val="none" w:sz="0" w:space="0" w:color="auto"/>
        <w:left w:val="none" w:sz="0" w:space="0" w:color="auto"/>
        <w:bottom w:val="none" w:sz="0" w:space="0" w:color="auto"/>
        <w:right w:val="none" w:sz="0" w:space="0" w:color="auto"/>
      </w:divBdr>
    </w:div>
    <w:div w:id="655229343">
      <w:marLeft w:val="0"/>
      <w:marRight w:val="0"/>
      <w:marTop w:val="0"/>
      <w:marBottom w:val="0"/>
      <w:divBdr>
        <w:top w:val="none" w:sz="0" w:space="0" w:color="auto"/>
        <w:left w:val="none" w:sz="0" w:space="0" w:color="auto"/>
        <w:bottom w:val="none" w:sz="0" w:space="0" w:color="auto"/>
        <w:right w:val="none" w:sz="0" w:space="0" w:color="auto"/>
      </w:divBdr>
    </w:div>
    <w:div w:id="655229344">
      <w:marLeft w:val="0"/>
      <w:marRight w:val="0"/>
      <w:marTop w:val="0"/>
      <w:marBottom w:val="0"/>
      <w:divBdr>
        <w:top w:val="none" w:sz="0" w:space="0" w:color="auto"/>
        <w:left w:val="none" w:sz="0" w:space="0" w:color="auto"/>
        <w:bottom w:val="none" w:sz="0" w:space="0" w:color="auto"/>
        <w:right w:val="none" w:sz="0" w:space="0" w:color="auto"/>
      </w:divBdr>
    </w:div>
    <w:div w:id="655229345">
      <w:marLeft w:val="0"/>
      <w:marRight w:val="0"/>
      <w:marTop w:val="0"/>
      <w:marBottom w:val="0"/>
      <w:divBdr>
        <w:top w:val="none" w:sz="0" w:space="0" w:color="auto"/>
        <w:left w:val="none" w:sz="0" w:space="0" w:color="auto"/>
        <w:bottom w:val="none" w:sz="0" w:space="0" w:color="auto"/>
        <w:right w:val="none" w:sz="0" w:space="0" w:color="auto"/>
      </w:divBdr>
    </w:div>
    <w:div w:id="655229346">
      <w:marLeft w:val="0"/>
      <w:marRight w:val="0"/>
      <w:marTop w:val="0"/>
      <w:marBottom w:val="0"/>
      <w:divBdr>
        <w:top w:val="none" w:sz="0" w:space="0" w:color="auto"/>
        <w:left w:val="none" w:sz="0" w:space="0" w:color="auto"/>
        <w:bottom w:val="none" w:sz="0" w:space="0" w:color="auto"/>
        <w:right w:val="none" w:sz="0" w:space="0" w:color="auto"/>
      </w:divBdr>
    </w:div>
    <w:div w:id="655229347">
      <w:marLeft w:val="0"/>
      <w:marRight w:val="0"/>
      <w:marTop w:val="0"/>
      <w:marBottom w:val="0"/>
      <w:divBdr>
        <w:top w:val="none" w:sz="0" w:space="0" w:color="auto"/>
        <w:left w:val="none" w:sz="0" w:space="0" w:color="auto"/>
        <w:bottom w:val="none" w:sz="0" w:space="0" w:color="auto"/>
        <w:right w:val="none" w:sz="0" w:space="0" w:color="auto"/>
      </w:divBdr>
    </w:div>
    <w:div w:id="655229348">
      <w:marLeft w:val="0"/>
      <w:marRight w:val="0"/>
      <w:marTop w:val="0"/>
      <w:marBottom w:val="0"/>
      <w:divBdr>
        <w:top w:val="none" w:sz="0" w:space="0" w:color="auto"/>
        <w:left w:val="none" w:sz="0" w:space="0" w:color="auto"/>
        <w:bottom w:val="none" w:sz="0" w:space="0" w:color="auto"/>
        <w:right w:val="none" w:sz="0" w:space="0" w:color="auto"/>
      </w:divBdr>
    </w:div>
    <w:div w:id="655229349">
      <w:marLeft w:val="0"/>
      <w:marRight w:val="0"/>
      <w:marTop w:val="0"/>
      <w:marBottom w:val="0"/>
      <w:divBdr>
        <w:top w:val="none" w:sz="0" w:space="0" w:color="auto"/>
        <w:left w:val="none" w:sz="0" w:space="0" w:color="auto"/>
        <w:bottom w:val="none" w:sz="0" w:space="0" w:color="auto"/>
        <w:right w:val="none" w:sz="0" w:space="0" w:color="auto"/>
      </w:divBdr>
    </w:div>
    <w:div w:id="655229350">
      <w:marLeft w:val="0"/>
      <w:marRight w:val="0"/>
      <w:marTop w:val="0"/>
      <w:marBottom w:val="0"/>
      <w:divBdr>
        <w:top w:val="none" w:sz="0" w:space="0" w:color="auto"/>
        <w:left w:val="none" w:sz="0" w:space="0" w:color="auto"/>
        <w:bottom w:val="none" w:sz="0" w:space="0" w:color="auto"/>
        <w:right w:val="none" w:sz="0" w:space="0" w:color="auto"/>
      </w:divBdr>
    </w:div>
    <w:div w:id="655229351">
      <w:marLeft w:val="0"/>
      <w:marRight w:val="0"/>
      <w:marTop w:val="0"/>
      <w:marBottom w:val="0"/>
      <w:divBdr>
        <w:top w:val="none" w:sz="0" w:space="0" w:color="auto"/>
        <w:left w:val="none" w:sz="0" w:space="0" w:color="auto"/>
        <w:bottom w:val="none" w:sz="0" w:space="0" w:color="auto"/>
        <w:right w:val="none" w:sz="0" w:space="0" w:color="auto"/>
      </w:divBdr>
    </w:div>
    <w:div w:id="655229352">
      <w:marLeft w:val="0"/>
      <w:marRight w:val="0"/>
      <w:marTop w:val="0"/>
      <w:marBottom w:val="0"/>
      <w:divBdr>
        <w:top w:val="none" w:sz="0" w:space="0" w:color="auto"/>
        <w:left w:val="none" w:sz="0" w:space="0" w:color="auto"/>
        <w:bottom w:val="none" w:sz="0" w:space="0" w:color="auto"/>
        <w:right w:val="none" w:sz="0" w:space="0" w:color="auto"/>
      </w:divBdr>
    </w:div>
    <w:div w:id="655229353">
      <w:marLeft w:val="0"/>
      <w:marRight w:val="0"/>
      <w:marTop w:val="0"/>
      <w:marBottom w:val="0"/>
      <w:divBdr>
        <w:top w:val="none" w:sz="0" w:space="0" w:color="auto"/>
        <w:left w:val="none" w:sz="0" w:space="0" w:color="auto"/>
        <w:bottom w:val="none" w:sz="0" w:space="0" w:color="auto"/>
        <w:right w:val="none" w:sz="0" w:space="0" w:color="auto"/>
      </w:divBdr>
    </w:div>
    <w:div w:id="655229354">
      <w:marLeft w:val="0"/>
      <w:marRight w:val="0"/>
      <w:marTop w:val="0"/>
      <w:marBottom w:val="0"/>
      <w:divBdr>
        <w:top w:val="none" w:sz="0" w:space="0" w:color="auto"/>
        <w:left w:val="none" w:sz="0" w:space="0" w:color="auto"/>
        <w:bottom w:val="none" w:sz="0" w:space="0" w:color="auto"/>
        <w:right w:val="none" w:sz="0" w:space="0" w:color="auto"/>
      </w:divBdr>
    </w:div>
    <w:div w:id="655229355">
      <w:marLeft w:val="0"/>
      <w:marRight w:val="0"/>
      <w:marTop w:val="0"/>
      <w:marBottom w:val="0"/>
      <w:divBdr>
        <w:top w:val="none" w:sz="0" w:space="0" w:color="auto"/>
        <w:left w:val="none" w:sz="0" w:space="0" w:color="auto"/>
        <w:bottom w:val="none" w:sz="0" w:space="0" w:color="auto"/>
        <w:right w:val="none" w:sz="0" w:space="0" w:color="auto"/>
      </w:divBdr>
    </w:div>
    <w:div w:id="6552293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moderngov:8080/documents/g62505/Public%20reports%20pack%20Thursday%2026-Jun-2014%2018.30%20Cabinet.pdf?T=1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moderngov:8080/documents/g61436/Public%20reports%20pack%20Thursday%2013-Feb-2014%2018.30%20Cabinet.pdf?T=1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wn.calvert@harrow.gov.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34</Pages>
  <Words>8860</Words>
  <Characters>-32766</Characters>
  <Application>Microsoft Office Outlook</Application>
  <DocSecurity>0</DocSecurity>
  <Lines>0</Lines>
  <Paragraphs>0</Paragraphs>
  <ScaleCrop>false</ScaleCrop>
  <Company>Harrow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subject/>
  <dc:creator>Harrow IT Services</dc:creator>
  <cp:keywords/>
  <dc:description/>
  <cp:lastModifiedBy>DGhelani</cp:lastModifiedBy>
  <cp:revision>4</cp:revision>
  <cp:lastPrinted>2014-11-27T11:07:00Z</cp:lastPrinted>
  <dcterms:created xsi:type="dcterms:W3CDTF">2014-12-01T10:01:00Z</dcterms:created>
  <dcterms:modified xsi:type="dcterms:W3CDTF">2014-12-01T10:27:00Z</dcterms:modified>
</cp:coreProperties>
</file>